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Research Overview for Nurse Led Wearable Assisted Delirium Prevention</w:t>
      </w:r>
    </w:p>
    <w:p>
      <w:pPr>
        <w:pStyle w:val="Subtitle"/>
      </w:pPr>
      <w:r>
        <w:rPr>
          <w:rFonts w:ascii="Arial" w:hAnsi="Arial"/>
          <w:sz w:val="20"/>
        </w:rPr>
        <w:t>Advanced Consensus and NIH RePORTER analysis for an early career nursing faculty researcher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20"/>
        <w:gridCol w:w="2520"/>
        <w:gridCol w:w="2520"/>
        <w:gridCol w:w="2520"/>
      </w:tblGrid>
      <w:tr>
        <w:trPr>
          <w:tblHeader w:val="true"/>
        </w:trPr>
        <w:tc>
          <w:tcPr>
            <w:tcW w:type="dxa" w:w="1800"/>
            <w:shd w:fill="E8F0F8"/>
            <w:vAlign w:val="center"/>
          </w:tcPr>
          <w:p>
            <w:pPr>
              <w:spacing w:after="0"/>
            </w:pPr>
            <w:r>
              <w:rPr>
                <w:b/>
                <w:sz w:val="17"/>
              </w:rPr>
              <w:t>Report date</w:t>
            </w:r>
          </w:p>
        </w:tc>
        <w:tc>
          <w:tcPr>
            <w:tcW w:type="dxa" w:w="1944"/>
            <w:shd w:fill="E8F0F8"/>
            <w:vAlign w:val="center"/>
          </w:tcPr>
          <w:p>
            <w:pPr>
              <w:spacing w:after="0"/>
            </w:pPr>
            <w:r>
              <w:rPr>
                <w:b/>
                <w:sz w:val="17"/>
              </w:rPr>
              <w:t>Career stage</w:t>
            </w:r>
          </w:p>
        </w:tc>
        <w:tc>
          <w:tcPr>
            <w:tcW w:type="dxa" w:w="3672"/>
            <w:shd w:fill="E8F0F8"/>
            <w:vAlign w:val="center"/>
          </w:tcPr>
          <w:p>
            <w:pPr>
              <w:spacing w:after="0"/>
            </w:pPr>
            <w:r>
              <w:rPr>
                <w:b/>
                <w:sz w:val="17"/>
              </w:rPr>
              <w:t>Research environment</w:t>
            </w:r>
          </w:p>
        </w:tc>
        <w:tc>
          <w:tcPr>
            <w:tcW w:type="dxa" w:w="3384"/>
            <w:shd w:fill="E8F0F8"/>
            <w:vAlign w:val="center"/>
          </w:tcPr>
          <w:p>
            <w:pPr>
              <w:spacing w:after="0"/>
            </w:pPr>
            <w:r>
              <w:rPr>
                <w:b/>
                <w:sz w:val="17"/>
              </w:rPr>
              <w:t>Evidence position</w:t>
            </w:r>
          </w:p>
        </w:tc>
      </w:tr>
      <w:tr>
        <w:trPr>
          <w:cantSplit/>
        </w:trPr>
        <w:tc>
          <w:tcPr>
            <w:tcW w:type="dxa" w:w="1800"/>
            <w:vAlign w:val="center"/>
            <w:tcMar>
              <w:top w:w="75" w:type="dxa"/>
              <w:start w:w="85" w:type="dxa"/>
              <w:bottom w:w="75" w:type="dxa"/>
              <w:end w:w="85" w:type="dxa"/>
            </w:tcMar>
          </w:tcPr>
          <w:p>
            <w:pPr>
              <w:spacing w:after="0" w:line="240" w:lineRule="auto"/>
            </w:pPr>
            <w:r>
              <w:rPr>
                <w:rFonts w:ascii="Arial" w:hAnsi="Arial"/>
                <w:sz w:val="17"/>
              </w:rPr>
              <w:t>17 September 2026</w:t>
            </w:r>
          </w:p>
        </w:tc>
        <w:tc>
          <w:tcPr>
            <w:tcW w:type="dxa" w:w="1944"/>
            <w:vAlign w:val="center"/>
            <w:tcMar>
              <w:top w:w="75" w:type="dxa"/>
              <w:start w:w="85" w:type="dxa"/>
              <w:bottom w:w="75" w:type="dxa"/>
              <w:end w:w="85" w:type="dxa"/>
            </w:tcMar>
          </w:tcPr>
          <w:p>
            <w:pPr>
              <w:spacing w:after="0" w:line="240" w:lineRule="auto"/>
            </w:pPr>
            <w:r>
              <w:rPr>
                <w:rFonts w:ascii="Arial" w:hAnsi="Arial"/>
                <w:sz w:val="17"/>
              </w:rPr>
              <w:t>Early career faculty</w:t>
            </w:r>
          </w:p>
        </w:tc>
        <w:tc>
          <w:tcPr>
            <w:tcW w:type="dxa" w:w="3672"/>
            <w:vAlign w:val="center"/>
            <w:tcMar>
              <w:top w:w="75" w:type="dxa"/>
              <w:start w:w="85" w:type="dxa"/>
              <w:bottom w:w="75" w:type="dxa"/>
              <w:end w:w="85" w:type="dxa"/>
            </w:tcMar>
          </w:tcPr>
          <w:p>
            <w:pPr>
              <w:spacing w:after="0" w:line="240" w:lineRule="auto"/>
            </w:pPr>
            <w:r>
              <w:rPr>
                <w:rFonts w:ascii="Arial" w:hAnsi="Arial"/>
                <w:sz w:val="17"/>
              </w:rPr>
              <w:t>Smaller public university with regional health system partner</w:t>
            </w:r>
          </w:p>
        </w:tc>
        <w:tc>
          <w:tcPr>
            <w:tcW w:type="dxa" w:w="3384"/>
            <w:vAlign w:val="center"/>
            <w:tcMar>
              <w:top w:w="75" w:type="dxa"/>
              <w:start w:w="85" w:type="dxa"/>
              <w:bottom w:w="75" w:type="dxa"/>
              <w:end w:w="85" w:type="dxa"/>
            </w:tcMar>
          </w:tcPr>
          <w:p>
            <w:pPr>
              <w:spacing w:after="0" w:line="240" w:lineRule="auto"/>
            </w:pPr>
            <w:r>
              <w:rPr>
                <w:rFonts w:ascii="Arial" w:hAnsi="Arial"/>
                <w:sz w:val="17"/>
              </w:rPr>
              <w:t>Limited preliminary data; pilot or mentored pathway</w:t>
            </w:r>
          </w:p>
        </w:tc>
      </w:tr>
    </w:tbl>
    <w:p>
      <w:pPr>
        <w:spacing w:after="0"/>
      </w:pPr>
    </w:p>
    <w:p>
      <w:pPr>
        <w:pStyle w:val="Heading1"/>
        <w:keepNext/>
      </w:pPr>
      <w:r>
        <w:t>1. Executive Summary</w:t>
      </w:r>
    </w:p>
    <w:p>
      <w:pPr>
        <w:pStyle w:val="ListBullet"/>
        <w:spacing w:after="60"/>
      </w:pPr>
      <w:r>
        <w:t>Positioning: The strongest gap is not whether delirium prevention or wearable sensing can work independently. It is whether continuous sleep and activity signals can be combined with routine nursing assessment to trigger a feasible, timely, standardized prevention response in real hospital workflows.</w:t>
      </w:r>
    </w:p>
    <w:p>
      <w:pPr>
        <w:pStyle w:val="ListBullet"/>
        <w:spacing w:after="60"/>
      </w:pPr>
      <w:r>
        <w:t>Best fit institute: The National Institute on Aging is the primary mission and portfolio fit because the target population is hospitalized older adults and the dominant relevant portfolio is NIA funded. The National Institute of Nursing Research is a strong secondary fit because the intervention is nurse led and focuses on care delivery, implementation, sleep, and patient outcomes.</w:t>
      </w:r>
    </w:p>
    <w:p>
      <w:pPr>
        <w:pStyle w:val="ListBullet"/>
        <w:spacing w:after="60"/>
      </w:pPr>
      <w:r>
        <w:t>Best first mechanism: A K23 is the strongest strategic option if the investigator has a qualifying clinical or nursing doctorate, needs mentored development, can protect at least 75 percent effort, and will lead a feasibility clinical trial. An R21 is the best project focused alternative for a two year feasibility and signal detection study.</w:t>
      </w:r>
    </w:p>
    <w:p>
      <w:pPr>
        <w:pStyle w:val="ListBullet"/>
        <w:spacing w:after="60"/>
      </w:pPr>
      <w:r>
        <w:t>Key differentiator: Existing projects emphasize delirium screening, electronic health record prediction, sleep mechanisms, nurse work environments, or mobility. The proposed study links wearable detected changes to a nurse initiated, multicomponent action pathway and tests workflow feasibility in a regional health system.</w:t>
      </w:r>
    </w:p>
    <w:p>
      <w:pPr>
        <w:spacing w:after="80" w:line="252" w:lineRule="auto"/>
      </w:pPr>
      <w:r>
        <w:t>Recommended development path: conduct a single health system pilot that establishes recruitment, wear time, signal completeness, alert burden, nursing adherence, acceptability, and preliminary delirium outcome estimates. Avoid presenting the first study as a definitive effectiveness trial. A later multisite R01 can test effectiveness after the sensing thresholds and response protocol are stable.</w:t>
      </w:r>
    </w:p>
    <w:p>
      <w:pPr>
        <w:pStyle w:val="Heading1"/>
        <w:keepNext/>
      </w:pPr>
      <w:r>
        <w:t>2. Your Positioning in the Field</w:t>
      </w:r>
    </w:p>
    <w:p>
      <w:pPr>
        <w:pStyle w:val="Heading2"/>
        <w:keepNext/>
      </w:pPr>
      <w:r>
        <w:t>The gap in researchers own words</w:t>
      </w:r>
    </w:p>
    <w:p>
      <w:pPr>
        <w:spacing w:after="60"/>
      </w:pPr>
      <w:r>
        <w:rPr>
          <w:i/>
        </w:rPr>
        <w:t xml:space="preserve">“Further high quality studies are needed to clarify the impact of specific nursing led strategies on delirium outcomes.” </w:t>
      </w:r>
      <w:hyperlink r:id="rId11">
        <w:r>
          <w:rPr>
            <w:color w:val="0563C1"/>
            <w:u w:val="single"/>
          </w:rPr>
          <w:t>Szewczak et al. 2025</w:t>
        </w:r>
      </w:hyperlink>
    </w:p>
    <w:p>
      <w:pPr>
        <w:spacing w:after="60"/>
      </w:pPr>
      <w:r>
        <w:rPr>
          <w:i/>
        </w:rPr>
        <w:t xml:space="preserve">“Further validation in larger and more diverse cohorts and integration with clinical risk factors is required before clinical implementation.” </w:t>
      </w:r>
      <w:hyperlink r:id="rId12">
        <w:r>
          <w:rPr>
            <w:color w:val="0563C1"/>
            <w:u w:val="single"/>
          </w:rPr>
          <w:t>Hong et al. 2025</w:t>
        </w:r>
      </w:hyperlink>
    </w:p>
    <w:p>
      <w:pPr>
        <w:spacing w:after="60"/>
      </w:pPr>
      <w:r>
        <w:rPr>
          <w:i/>
        </w:rPr>
        <w:t xml:space="preserve">“Further research is needed to determine the accuracy of hospitalized patients digital biomarker readings.” </w:t>
      </w:r>
      <w:hyperlink r:id="rId13">
        <w:r>
          <w:rPr>
            <w:color w:val="0563C1"/>
            <w:u w:val="single"/>
          </w:rPr>
          <w:t>Patel et al. 2021</w:t>
        </w:r>
      </w:hyperlink>
    </w:p>
    <w:p>
      <w:pPr>
        <w:spacing w:after="60"/>
      </w:pPr>
      <w:r>
        <w:rPr>
          <w:i/>
        </w:rPr>
        <w:t xml:space="preserve">“Validation of accuracy and integration in clinical decision making remain crucial for widespread adoption.” </w:t>
      </w:r>
      <w:hyperlink r:id="rId14">
        <w:r>
          <w:rPr>
            <w:color w:val="0563C1"/>
            <w:u w:val="single"/>
          </w:rPr>
          <w:t>Angelucci et al. 2025</w:t>
        </w:r>
      </w:hyperlink>
    </w:p>
    <w:p>
      <w:pPr>
        <w:spacing w:after="60"/>
      </w:pPr>
      <w:r>
        <w:rPr>
          <w:i/>
        </w:rPr>
        <w:t xml:space="preserve">“Future research should examine feasibility and efficacy of optimized delirium prevention interventions in pragmatic clinical trials.” </w:t>
      </w:r>
      <w:hyperlink r:id="rId15">
        <w:r>
          <w:rPr>
            <w:color w:val="0563C1"/>
            <w:u w:val="single"/>
          </w:rPr>
          <w:t>Gokhale et al. 2025</w:t>
        </w:r>
      </w:hyperlink>
    </w:p>
    <w:p>
      <w:pPr>
        <w:pStyle w:val="Heading2"/>
        <w:keepNext/>
      </w:pPr>
      <w:r>
        <w:t>Positioning narrative draft language you can adapt</w:t>
      </w:r>
    </w:p>
    <w:p>
      <w:pPr>
        <w:spacing w:after="80" w:line="252" w:lineRule="auto"/>
      </w:pPr>
      <w:r>
        <w:t>The field has established that delirium is common, consequential, and partly preventable among hospitalized older adults. A 2025 meta analysis estimated a pooled delirium incidence of 28.79 percent among older medical inpatients and found substantially higher mortality and longer hospitalization after delirium [4]. Long term evidence links an in hospital delirium episode to cognitive and functional decline, institutionalization, readmission, dementia, and mortality after discharge [5]. Multicomponent nonpharmacological programs that address mobility, hydration, orientation, sleep, sensory needs, medication exposure, and family engagement reduce incident delirium, although effects on length of stay, falls, return to independent living, and mortality remain less certain [2, 7, 9].</w:t>
      </w:r>
    </w:p>
    <w:p>
      <w:pPr>
        <w:spacing w:after="80" w:line="252" w:lineRule="auto"/>
      </w:pPr>
      <w:r>
        <w:t>Current approaches fall short because bedside assessments provide intermittent snapshots, delirium remains underrecognized, intervention delivery is inconsistent, and hospital teams cannot apply resource intensive bundles equally to every patient. Wearable actigraphy can capture disrupted rest activity rhythms, fragmented sleep, and low daytime activity, and motion features have improved delirium classification when combined with clinical variables [10, 11, 17]. Yet inpatient wearable studies remain heterogeneous, device accuracy is uneven, thresholds are not externally validated, and integration with nursing workflow and clinical decisions is still limited [12-16, 18]. The implementation problem is therefore as important as the sensing problem.</w:t>
      </w:r>
    </w:p>
    <w:p>
      <w:pPr>
        <w:spacing w:after="80" w:line="252" w:lineRule="auto"/>
      </w:pPr>
      <w:r>
        <w:t>This project addresses an unmet need by combining continuous sleep and activity data with routine nursing assessment to trigger a predefined, nurse led prevention response. Its innovation is not a wearable alone and not a standard bundle alone. It is the closed loop pathway from signal, to nurse verification, to tailored mobility, hydration, orientation, sleep protection, and family engagement, followed by documentation of delivery and outcome. A pilot at a regional health system can establish feasibility, acceptability, alert burden, fidelity, safety, and preliminary clinical signals while producing the data needed to calibrate a later multisite effectiveness trial.</w:t>
      </w:r>
    </w:p>
    <w:p>
      <w:pPr>
        <w:pStyle w:val="Heading2"/>
        <w:keepNext/>
      </w:pPr>
      <w:r>
        <w:t>Supporting evidence table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80"/>
        <w:gridCol w:w="1680"/>
        <w:gridCol w:w="1680"/>
        <w:gridCol w:w="1680"/>
        <w:gridCol w:w="1680"/>
        <w:gridCol w:w="1680"/>
      </w:tblGrid>
      <w:tr>
        <w:trPr>
          <w:tblHeader w:val="true"/>
        </w:trPr>
        <w:tc>
          <w:tcPr>
            <w:tcW w:type="dxa" w:w="1152"/>
            <w:shd w:fill="E8F0F8"/>
            <w:vAlign w:val="center"/>
          </w:tcPr>
          <w:p>
            <w:pPr>
              <w:spacing w:after="0"/>
            </w:pPr>
            <w:r>
              <w:rPr>
                <w:b/>
                <w:sz w:val="15"/>
              </w:rPr>
              <w:t>Facet</w:t>
            </w:r>
          </w:p>
        </w:tc>
        <w:tc>
          <w:tcPr>
            <w:tcW w:type="dxa" w:w="3096"/>
            <w:shd w:fill="E8F0F8"/>
            <w:vAlign w:val="center"/>
          </w:tcPr>
          <w:p>
            <w:pPr>
              <w:spacing w:after="0"/>
            </w:pPr>
            <w:r>
              <w:rPr>
                <w:b/>
                <w:sz w:val="15"/>
              </w:rPr>
              <w:t>Query Used</w:t>
            </w:r>
          </w:p>
        </w:tc>
        <w:tc>
          <w:tcPr>
            <w:tcW w:type="dxa" w:w="936"/>
            <w:shd w:fill="E8F0F8"/>
            <w:vAlign w:val="center"/>
          </w:tcPr>
          <w:p>
            <w:pPr>
              <w:spacing w:after="0"/>
            </w:pPr>
            <w:r>
              <w:rPr>
                <w:b/>
                <w:sz w:val="15"/>
              </w:rPr>
              <w:t>Results Received</w:t>
            </w:r>
          </w:p>
        </w:tc>
        <w:tc>
          <w:tcPr>
            <w:tcW w:type="dxa" w:w="792"/>
            <w:shd w:fill="E8F0F8"/>
            <w:vAlign w:val="center"/>
          </w:tcPr>
          <w:p>
            <w:pPr>
              <w:spacing w:after="0"/>
            </w:pPr>
            <w:r>
              <w:rPr>
                <w:b/>
                <w:sz w:val="15"/>
              </w:rPr>
              <w:t>Results Cited</w:t>
            </w:r>
          </w:p>
        </w:tc>
        <w:tc>
          <w:tcPr>
            <w:tcW w:type="dxa" w:w="1080"/>
            <w:shd w:fill="E8F0F8"/>
            <w:vAlign w:val="center"/>
          </w:tcPr>
          <w:p>
            <w:pPr>
              <w:spacing w:after="0"/>
            </w:pPr>
            <w:r>
              <w:rPr>
                <w:b/>
                <w:sz w:val="15"/>
              </w:rPr>
              <w:t>Coverage Level</w:t>
            </w:r>
          </w:p>
        </w:tc>
        <w:tc>
          <w:tcPr>
            <w:tcW w:type="dxa" w:w="3024"/>
            <w:shd w:fill="E8F0F8"/>
            <w:vAlign w:val="center"/>
          </w:tcPr>
          <w:p>
            <w:pPr>
              <w:spacing w:after="0"/>
            </w:pPr>
            <w:r>
              <w:rPr>
                <w:b/>
                <w:sz w:val="15"/>
              </w:rPr>
              <w:t>Key Takeaway</w:t>
            </w:r>
          </w:p>
        </w:tc>
      </w:tr>
      <w:tr>
        <w:trPr>
          <w:cantSplit/>
        </w:trPr>
        <w:tc>
          <w:tcPr>
            <w:tcW w:type="dxa" w:w="1152"/>
            <w:vAlign w:val="center"/>
            <w:tcMar>
              <w:top w:w="75" w:type="dxa"/>
              <w:start w:w="85" w:type="dxa"/>
              <w:bottom w:w="75" w:type="dxa"/>
              <w:end w:w="85" w:type="dxa"/>
            </w:tcMar>
          </w:tcPr>
          <w:p>
            <w:pPr>
              <w:spacing w:after="0" w:line="240" w:lineRule="auto"/>
            </w:pPr>
            <w:r>
              <w:rPr>
                <w:rFonts w:ascii="Arial" w:hAnsi="Arial"/>
                <w:sz w:val="15"/>
              </w:rPr>
              <w:t>Foundation</w:t>
            </w:r>
          </w:p>
        </w:tc>
        <w:tc>
          <w:tcPr>
            <w:tcW w:type="dxa" w:w="3096"/>
            <w:vAlign w:val="center"/>
            <w:tcMar>
              <w:top w:w="75" w:type="dxa"/>
              <w:start w:w="85" w:type="dxa"/>
              <w:bottom w:w="75" w:type="dxa"/>
              <w:end w:w="85" w:type="dxa"/>
            </w:tcMar>
          </w:tcPr>
          <w:p>
            <w:pPr>
              <w:spacing w:after="0" w:line="240" w:lineRule="auto"/>
            </w:pPr>
            <w:r>
              <w:rPr>
                <w:rFonts w:ascii="Arial" w:hAnsi="Arial"/>
                <w:sz w:val="15"/>
              </w:rPr>
              <w:t>hospitalized older adults delirium prevention nurse led multicomponent intervention wearable sleep activity monitoring; year 2019 to 2026; human</w:t>
            </w:r>
          </w:p>
        </w:tc>
        <w:tc>
          <w:tcPr>
            <w:tcW w:type="dxa" w:w="936"/>
            <w:vAlign w:val="center"/>
            <w:tcMar>
              <w:top w:w="75" w:type="dxa"/>
              <w:start w:w="85" w:type="dxa"/>
              <w:bottom w:w="75" w:type="dxa"/>
              <w:end w:w="85" w:type="dxa"/>
            </w:tcMar>
          </w:tcPr>
          <w:p>
            <w:pPr>
              <w:spacing w:after="0" w:line="240" w:lineRule="auto"/>
            </w:pPr>
            <w:r>
              <w:rPr>
                <w:rFonts w:ascii="Arial" w:hAnsi="Arial"/>
                <w:sz w:val="15"/>
              </w:rPr>
              <w:t>20</w:t>
            </w:r>
          </w:p>
        </w:tc>
        <w:tc>
          <w:tcPr>
            <w:tcW w:type="dxa" w:w="792"/>
            <w:vAlign w:val="center"/>
            <w:tcMar>
              <w:top w:w="75" w:type="dxa"/>
              <w:start w:w="85" w:type="dxa"/>
              <w:bottom w:w="75" w:type="dxa"/>
              <w:end w:w="85" w:type="dxa"/>
            </w:tcMar>
          </w:tcPr>
          <w:p>
            <w:pPr>
              <w:spacing w:after="0" w:line="240" w:lineRule="auto"/>
            </w:pPr>
            <w:r>
              <w:rPr>
                <w:rFonts w:ascii="Arial" w:hAnsi="Arial"/>
                <w:sz w:val="15"/>
              </w:rPr>
              <w:t>5</w:t>
            </w:r>
          </w:p>
        </w:tc>
        <w:tc>
          <w:tcPr>
            <w:tcW w:type="dxa" w:w="1080"/>
            <w:vAlign w:val="center"/>
            <w:tcMar>
              <w:top w:w="75" w:type="dxa"/>
              <w:start w:w="85" w:type="dxa"/>
              <w:bottom w:w="75" w:type="dxa"/>
              <w:end w:w="85" w:type="dxa"/>
            </w:tcMar>
          </w:tcPr>
          <w:p>
            <w:pPr>
              <w:spacing w:after="0" w:line="240" w:lineRule="auto"/>
            </w:pPr>
            <w:r>
              <w:rPr>
                <w:rFonts w:ascii="Arial" w:hAnsi="Arial"/>
                <w:sz w:val="15"/>
              </w:rPr>
              <w:t>Substantial</w:t>
            </w:r>
          </w:p>
        </w:tc>
        <w:tc>
          <w:tcPr>
            <w:tcW w:type="dxa" w:w="3024"/>
            <w:vAlign w:val="center"/>
            <w:tcMar>
              <w:top w:w="75" w:type="dxa"/>
              <w:start w:w="85" w:type="dxa"/>
              <w:bottom w:w="75" w:type="dxa"/>
              <w:end w:w="85" w:type="dxa"/>
            </w:tcMar>
          </w:tcPr>
          <w:p>
            <w:pPr>
              <w:spacing w:after="0" w:line="240" w:lineRule="auto"/>
            </w:pPr>
            <w:r>
              <w:rPr>
                <w:rFonts w:ascii="Arial" w:hAnsi="Arial"/>
                <w:sz w:val="15"/>
              </w:rPr>
              <w:t>Multicomponent nursing prevention is supported; evidence varies by setting and protocol.</w:t>
            </w:r>
          </w:p>
        </w:tc>
      </w:tr>
      <w:tr>
        <w:trPr>
          <w:cantSplit/>
        </w:trPr>
        <w:tc>
          <w:tcPr>
            <w:tcW w:type="dxa" w:w="1152"/>
            <w:vAlign w:val="center"/>
            <w:tcMar>
              <w:top w:w="75" w:type="dxa"/>
              <w:start w:w="85" w:type="dxa"/>
              <w:bottom w:w="75" w:type="dxa"/>
              <w:end w:w="85" w:type="dxa"/>
            </w:tcMar>
            <w:shd w:fill="F5F8FC"/>
          </w:tcPr>
          <w:p>
            <w:pPr>
              <w:spacing w:after="0" w:line="240" w:lineRule="auto"/>
            </w:pPr>
            <w:r>
              <w:rPr>
                <w:rFonts w:ascii="Arial" w:hAnsi="Arial"/>
                <w:sz w:val="15"/>
              </w:rPr>
              <w:t>Stakes</w:t>
            </w:r>
          </w:p>
        </w:tc>
        <w:tc>
          <w:tcPr>
            <w:tcW w:type="dxa" w:w="3096"/>
            <w:vAlign w:val="center"/>
            <w:tcMar>
              <w:top w:w="75" w:type="dxa"/>
              <w:start w:w="85" w:type="dxa"/>
              <w:bottom w:w="75" w:type="dxa"/>
              <w:end w:w="85" w:type="dxa"/>
            </w:tcMar>
            <w:shd w:fill="F5F8FC"/>
          </w:tcPr>
          <w:p>
            <w:pPr>
              <w:spacing w:after="0" w:line="240" w:lineRule="auto"/>
            </w:pPr>
            <w:r>
              <w:rPr>
                <w:rFonts w:ascii="Arial" w:hAnsi="Arial"/>
                <w:sz w:val="15"/>
              </w:rPr>
              <w:t>delirium prevalence burden mortality falls length of stay discharge institutionalization hospitalized older adults; year 2019 to 2026; human</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5"/>
              </w:rPr>
              <w:t>20</w:t>
            </w:r>
          </w:p>
        </w:tc>
        <w:tc>
          <w:tcPr>
            <w:tcW w:type="dxa" w:w="792"/>
            <w:vAlign w:val="center"/>
            <w:tcMar>
              <w:top w:w="75" w:type="dxa"/>
              <w:start w:w="85" w:type="dxa"/>
              <w:bottom w:w="75" w:type="dxa"/>
              <w:end w:w="85" w:type="dxa"/>
            </w:tcMar>
            <w:shd w:fill="F5F8FC"/>
          </w:tcPr>
          <w:p>
            <w:pPr>
              <w:spacing w:after="0" w:line="240" w:lineRule="auto"/>
            </w:pPr>
            <w:r>
              <w:rPr>
                <w:rFonts w:ascii="Arial" w:hAnsi="Arial"/>
                <w:sz w:val="15"/>
              </w:rPr>
              <w:t>3</w:t>
            </w:r>
          </w:p>
        </w:tc>
        <w:tc>
          <w:tcPr>
            <w:tcW w:type="dxa" w:w="1080"/>
            <w:vAlign w:val="center"/>
            <w:tcMar>
              <w:top w:w="75" w:type="dxa"/>
              <w:start w:w="85" w:type="dxa"/>
              <w:bottom w:w="75" w:type="dxa"/>
              <w:end w:w="85" w:type="dxa"/>
            </w:tcMar>
            <w:shd w:fill="F5F8FC"/>
          </w:tcPr>
          <w:p>
            <w:pPr>
              <w:spacing w:after="0" w:line="240" w:lineRule="auto"/>
            </w:pPr>
            <w:r>
              <w:rPr>
                <w:rFonts w:ascii="Arial" w:hAnsi="Arial"/>
                <w:sz w:val="15"/>
              </w:rPr>
              <w:t>Substantial</w:t>
            </w:r>
          </w:p>
        </w:tc>
        <w:tc>
          <w:tcPr>
            <w:tcW w:type="dxa" w:w="3024"/>
            <w:vAlign w:val="center"/>
            <w:tcMar>
              <w:top w:w="75" w:type="dxa"/>
              <w:start w:w="85" w:type="dxa"/>
              <w:bottom w:w="75" w:type="dxa"/>
              <w:end w:w="85" w:type="dxa"/>
            </w:tcMar>
            <w:shd w:fill="F5F8FC"/>
          </w:tcPr>
          <w:p>
            <w:pPr>
              <w:spacing w:after="0" w:line="240" w:lineRule="auto"/>
            </w:pPr>
            <w:r>
              <w:rPr>
                <w:rFonts w:ascii="Arial" w:hAnsi="Arial"/>
                <w:sz w:val="15"/>
              </w:rPr>
              <w:t>Delirium is common and predicts mortality, longer stays, decline, falls, and institutionalization.</w:t>
            </w:r>
          </w:p>
        </w:tc>
      </w:tr>
      <w:tr>
        <w:trPr>
          <w:cantSplit/>
        </w:trPr>
        <w:tc>
          <w:tcPr>
            <w:tcW w:type="dxa" w:w="1152"/>
            <w:vAlign w:val="center"/>
            <w:tcMar>
              <w:top w:w="75" w:type="dxa"/>
              <w:start w:w="85" w:type="dxa"/>
              <w:bottom w:w="75" w:type="dxa"/>
              <w:end w:w="85" w:type="dxa"/>
            </w:tcMar>
          </w:tcPr>
          <w:p>
            <w:pPr>
              <w:spacing w:after="0" w:line="240" w:lineRule="auto"/>
            </w:pPr>
            <w:r>
              <w:rPr>
                <w:rFonts w:ascii="Arial" w:hAnsi="Arial"/>
                <w:sz w:val="15"/>
              </w:rPr>
              <w:t>Current approaches</w:t>
            </w:r>
          </w:p>
        </w:tc>
        <w:tc>
          <w:tcPr>
            <w:tcW w:type="dxa" w:w="3096"/>
            <w:vAlign w:val="center"/>
            <w:tcMar>
              <w:top w:w="75" w:type="dxa"/>
              <w:start w:w="85" w:type="dxa"/>
              <w:bottom w:w="75" w:type="dxa"/>
              <w:end w:w="85" w:type="dxa"/>
            </w:tcMar>
          </w:tcPr>
          <w:p>
            <w:pPr>
              <w:spacing w:after="0" w:line="240" w:lineRule="auto"/>
            </w:pPr>
            <w:r>
              <w:rPr>
                <w:rFonts w:ascii="Arial" w:hAnsi="Arial"/>
                <w:sz w:val="15"/>
              </w:rPr>
              <w:t>guidelines screening nonpharmacological multicomponent prevention management delirium hospitalized older adults nursing limitations implementation; year 2019 to 2026; human</w:t>
            </w:r>
          </w:p>
        </w:tc>
        <w:tc>
          <w:tcPr>
            <w:tcW w:type="dxa" w:w="936"/>
            <w:vAlign w:val="center"/>
            <w:tcMar>
              <w:top w:w="75" w:type="dxa"/>
              <w:start w:w="85" w:type="dxa"/>
              <w:bottom w:w="75" w:type="dxa"/>
              <w:end w:w="85" w:type="dxa"/>
            </w:tcMar>
          </w:tcPr>
          <w:p>
            <w:pPr>
              <w:spacing w:after="0" w:line="240" w:lineRule="auto"/>
            </w:pPr>
            <w:r>
              <w:rPr>
                <w:rFonts w:ascii="Arial" w:hAnsi="Arial"/>
                <w:sz w:val="15"/>
              </w:rPr>
              <w:t>20</w:t>
            </w:r>
          </w:p>
        </w:tc>
        <w:tc>
          <w:tcPr>
            <w:tcW w:type="dxa" w:w="792"/>
            <w:vAlign w:val="center"/>
            <w:tcMar>
              <w:top w:w="75" w:type="dxa"/>
              <w:start w:w="85" w:type="dxa"/>
              <w:bottom w:w="75" w:type="dxa"/>
              <w:end w:w="85" w:type="dxa"/>
            </w:tcMar>
          </w:tcPr>
          <w:p>
            <w:pPr>
              <w:spacing w:after="0" w:line="240" w:lineRule="auto"/>
            </w:pPr>
            <w:r>
              <w:rPr>
                <w:rFonts w:ascii="Arial" w:hAnsi="Arial"/>
                <w:sz w:val="15"/>
              </w:rPr>
              <w:t>3</w:t>
            </w:r>
          </w:p>
        </w:tc>
        <w:tc>
          <w:tcPr>
            <w:tcW w:type="dxa" w:w="1080"/>
            <w:vAlign w:val="center"/>
            <w:tcMar>
              <w:top w:w="75" w:type="dxa"/>
              <w:start w:w="85" w:type="dxa"/>
              <w:bottom w:w="75" w:type="dxa"/>
              <w:end w:w="85" w:type="dxa"/>
            </w:tcMar>
          </w:tcPr>
          <w:p>
            <w:pPr>
              <w:spacing w:after="0" w:line="240" w:lineRule="auto"/>
            </w:pPr>
            <w:r>
              <w:rPr>
                <w:rFonts w:ascii="Arial" w:hAnsi="Arial"/>
                <w:sz w:val="15"/>
              </w:rPr>
              <w:t>Substantial</w:t>
            </w:r>
          </w:p>
        </w:tc>
        <w:tc>
          <w:tcPr>
            <w:tcW w:type="dxa" w:w="3024"/>
            <w:vAlign w:val="center"/>
            <w:tcMar>
              <w:top w:w="75" w:type="dxa"/>
              <w:start w:w="85" w:type="dxa"/>
              <w:bottom w:w="75" w:type="dxa"/>
              <w:end w:w="85" w:type="dxa"/>
            </w:tcMar>
          </w:tcPr>
          <w:p>
            <w:pPr>
              <w:spacing w:after="0" w:line="240" w:lineRule="auto"/>
            </w:pPr>
            <w:r>
              <w:rPr>
                <w:rFonts w:ascii="Arial" w:hAnsi="Arial"/>
                <w:sz w:val="15"/>
              </w:rPr>
              <w:t>Screening and bundles are recommended, but recognition, standardization, staffing, and workflow barriers persist.</w:t>
            </w:r>
          </w:p>
        </w:tc>
      </w:tr>
      <w:tr>
        <w:trPr>
          <w:cantSplit/>
        </w:trPr>
        <w:tc>
          <w:tcPr>
            <w:tcW w:type="dxa" w:w="1152"/>
            <w:vAlign w:val="center"/>
            <w:tcMar>
              <w:top w:w="75" w:type="dxa"/>
              <w:start w:w="85" w:type="dxa"/>
              <w:bottom w:w="75" w:type="dxa"/>
              <w:end w:w="85" w:type="dxa"/>
            </w:tcMar>
            <w:shd w:fill="F5F8FC"/>
          </w:tcPr>
          <w:p>
            <w:pPr>
              <w:spacing w:after="0" w:line="240" w:lineRule="auto"/>
            </w:pPr>
            <w:r>
              <w:rPr>
                <w:rFonts w:ascii="Arial" w:hAnsi="Arial"/>
                <w:sz w:val="15"/>
              </w:rPr>
              <w:t>Adjacent method</w:t>
            </w:r>
          </w:p>
        </w:tc>
        <w:tc>
          <w:tcPr>
            <w:tcW w:type="dxa" w:w="3096"/>
            <w:vAlign w:val="center"/>
            <w:tcMar>
              <w:top w:w="75" w:type="dxa"/>
              <w:start w:w="85" w:type="dxa"/>
              <w:bottom w:w="75" w:type="dxa"/>
              <w:end w:w="85" w:type="dxa"/>
            </w:tcMar>
            <w:shd w:fill="F5F8FC"/>
          </w:tcPr>
          <w:p>
            <w:pPr>
              <w:spacing w:after="0" w:line="240" w:lineRule="auto"/>
            </w:pPr>
            <w:r>
              <w:rPr>
                <w:rFonts w:ascii="Arial" w:hAnsi="Arial"/>
                <w:sz w:val="15"/>
              </w:rPr>
              <w:t>wearable actigraphy accelerometer sleep activity continuous monitoring delirium risk prediction hospitalized older adults feasibility; year 2019 to 2026; human</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5"/>
              </w:rPr>
              <w:t>20</w:t>
            </w:r>
          </w:p>
        </w:tc>
        <w:tc>
          <w:tcPr>
            <w:tcW w:type="dxa" w:w="792"/>
            <w:vAlign w:val="center"/>
            <w:tcMar>
              <w:top w:w="75" w:type="dxa"/>
              <w:start w:w="85" w:type="dxa"/>
              <w:bottom w:w="75" w:type="dxa"/>
              <w:end w:w="85" w:type="dxa"/>
            </w:tcMar>
            <w:shd w:fill="F5F8FC"/>
          </w:tcPr>
          <w:p>
            <w:pPr>
              <w:spacing w:after="0" w:line="240" w:lineRule="auto"/>
            </w:pPr>
            <w:r>
              <w:rPr>
                <w:rFonts w:ascii="Arial" w:hAnsi="Arial"/>
                <w:sz w:val="15"/>
              </w:rPr>
              <w:t>5</w:t>
            </w:r>
          </w:p>
        </w:tc>
        <w:tc>
          <w:tcPr>
            <w:tcW w:type="dxa" w:w="1080"/>
            <w:vAlign w:val="center"/>
            <w:tcMar>
              <w:top w:w="75" w:type="dxa"/>
              <w:start w:w="85" w:type="dxa"/>
              <w:bottom w:w="75" w:type="dxa"/>
              <w:end w:w="85" w:type="dxa"/>
            </w:tcMar>
            <w:shd w:fill="F5F8FC"/>
          </w:tcPr>
          <w:p>
            <w:pPr>
              <w:spacing w:after="0" w:line="240" w:lineRule="auto"/>
            </w:pPr>
            <w:r>
              <w:rPr>
                <w:rFonts w:ascii="Arial" w:hAnsi="Arial"/>
                <w:sz w:val="15"/>
              </w:rPr>
              <w:t>Substantial</w:t>
            </w:r>
          </w:p>
        </w:tc>
        <w:tc>
          <w:tcPr>
            <w:tcW w:type="dxa" w:w="3024"/>
            <w:vAlign w:val="center"/>
            <w:tcMar>
              <w:top w:w="75" w:type="dxa"/>
              <w:start w:w="85" w:type="dxa"/>
              <w:bottom w:w="75" w:type="dxa"/>
              <w:end w:w="85" w:type="dxa"/>
            </w:tcMar>
            <w:shd w:fill="F5F8FC"/>
          </w:tcPr>
          <w:p>
            <w:pPr>
              <w:spacing w:after="0" w:line="240" w:lineRule="auto"/>
            </w:pPr>
            <w:r>
              <w:rPr>
                <w:rFonts w:ascii="Arial" w:hAnsi="Arial"/>
                <w:sz w:val="15"/>
              </w:rPr>
              <w:t>Wearables show feasibility and predictive signal, but accuracy and clinical integration need validation.</w:t>
            </w:r>
          </w:p>
        </w:tc>
      </w:tr>
      <w:tr>
        <w:trPr>
          <w:cantSplit/>
        </w:trPr>
        <w:tc>
          <w:tcPr>
            <w:tcW w:type="dxa" w:w="1152"/>
            <w:vAlign w:val="center"/>
            <w:tcMar>
              <w:top w:w="75" w:type="dxa"/>
              <w:start w:w="85" w:type="dxa"/>
              <w:bottom w:w="75" w:type="dxa"/>
              <w:end w:w="85" w:type="dxa"/>
            </w:tcMar>
          </w:tcPr>
          <w:p>
            <w:pPr>
              <w:spacing w:after="0" w:line="240" w:lineRule="auto"/>
            </w:pPr>
            <w:r>
              <w:rPr>
                <w:rFonts w:ascii="Arial" w:hAnsi="Arial"/>
                <w:sz w:val="15"/>
              </w:rPr>
              <w:t>Explicit gaps</w:t>
            </w:r>
          </w:p>
        </w:tc>
        <w:tc>
          <w:tcPr>
            <w:tcW w:type="dxa" w:w="3096"/>
            <w:vAlign w:val="center"/>
            <w:tcMar>
              <w:top w:w="75" w:type="dxa"/>
              <w:start w:w="85" w:type="dxa"/>
              <w:bottom w:w="75" w:type="dxa"/>
              <w:end w:w="85" w:type="dxa"/>
            </w:tcMar>
          </w:tcPr>
          <w:p>
            <w:pPr>
              <w:spacing w:after="0" w:line="240" w:lineRule="auto"/>
            </w:pPr>
            <w:r>
              <w:rPr>
                <w:rFonts w:ascii="Arial" w:hAnsi="Arial"/>
                <w:sz w:val="15"/>
              </w:rPr>
              <w:t>research gaps limitations future directions wearable monitoring nurse led delirium prevention hospitalized older adults implementation validation; year 2019 to 2026; human</w:t>
            </w:r>
          </w:p>
        </w:tc>
        <w:tc>
          <w:tcPr>
            <w:tcW w:type="dxa" w:w="936"/>
            <w:vAlign w:val="center"/>
            <w:tcMar>
              <w:top w:w="75" w:type="dxa"/>
              <w:start w:w="85" w:type="dxa"/>
              <w:bottom w:w="75" w:type="dxa"/>
              <w:end w:w="85" w:type="dxa"/>
            </w:tcMar>
          </w:tcPr>
          <w:p>
            <w:pPr>
              <w:spacing w:after="0" w:line="240" w:lineRule="auto"/>
            </w:pPr>
            <w:r>
              <w:rPr>
                <w:rFonts w:ascii="Arial" w:hAnsi="Arial"/>
                <w:sz w:val="15"/>
              </w:rPr>
              <w:t>20</w:t>
            </w:r>
          </w:p>
        </w:tc>
        <w:tc>
          <w:tcPr>
            <w:tcW w:type="dxa" w:w="792"/>
            <w:vAlign w:val="center"/>
            <w:tcMar>
              <w:top w:w="75" w:type="dxa"/>
              <w:start w:w="85" w:type="dxa"/>
              <w:bottom w:w="75" w:type="dxa"/>
              <w:end w:w="85" w:type="dxa"/>
            </w:tcMar>
          </w:tcPr>
          <w:p>
            <w:pPr>
              <w:spacing w:after="0" w:line="240" w:lineRule="auto"/>
            </w:pPr>
            <w:r>
              <w:rPr>
                <w:rFonts w:ascii="Arial" w:hAnsi="Arial"/>
                <w:sz w:val="15"/>
              </w:rPr>
              <w:t>6</w:t>
            </w:r>
          </w:p>
        </w:tc>
        <w:tc>
          <w:tcPr>
            <w:tcW w:type="dxa" w:w="1080"/>
            <w:vAlign w:val="center"/>
            <w:tcMar>
              <w:top w:w="75" w:type="dxa"/>
              <w:start w:w="85" w:type="dxa"/>
              <w:bottom w:w="75" w:type="dxa"/>
              <w:end w:w="85" w:type="dxa"/>
            </w:tcMar>
          </w:tcPr>
          <w:p>
            <w:pPr>
              <w:spacing w:after="0" w:line="240" w:lineRule="auto"/>
            </w:pPr>
            <w:r>
              <w:rPr>
                <w:rFonts w:ascii="Arial" w:hAnsi="Arial"/>
                <w:sz w:val="15"/>
              </w:rPr>
              <w:t>Substantial</w:t>
            </w:r>
          </w:p>
        </w:tc>
        <w:tc>
          <w:tcPr>
            <w:tcW w:type="dxa" w:w="3024"/>
            <w:vAlign w:val="center"/>
            <w:tcMar>
              <w:top w:w="75" w:type="dxa"/>
              <w:start w:w="85" w:type="dxa"/>
              <w:bottom w:w="75" w:type="dxa"/>
              <w:end w:w="85" w:type="dxa"/>
            </w:tcMar>
          </w:tcPr>
          <w:p>
            <w:pPr>
              <w:spacing w:after="0" w:line="240" w:lineRule="auto"/>
            </w:pPr>
            <w:r>
              <w:rPr>
                <w:rFonts w:ascii="Arial" w:hAnsi="Arial"/>
                <w:sz w:val="15"/>
              </w:rPr>
              <w:t>The field calls for pragmatic validation, workflow integration, interoperability, and diverse cohorts.</w:t>
            </w:r>
          </w:p>
        </w:tc>
      </w:tr>
    </w:tbl>
    <w:p>
      <w:pPr>
        <w:spacing w:after="0"/>
      </w:pPr>
    </w:p>
    <w:p>
      <w:pPr>
        <w:pStyle w:val="Heading1"/>
        <w:keepNext/>
      </w:pPr>
      <w:r>
        <w:t>3. Where NIH Is Funding This Work</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20"/>
        <w:gridCol w:w="2520"/>
        <w:gridCol w:w="2520"/>
        <w:gridCol w:w="2520"/>
      </w:tblGrid>
      <w:tr>
        <w:trPr>
          <w:tblHeader w:val="true"/>
        </w:trPr>
        <w:tc>
          <w:tcPr>
            <w:tcW w:type="dxa" w:w="936"/>
            <w:shd w:fill="E8F0F8"/>
            <w:vAlign w:val="center"/>
          </w:tcPr>
          <w:p>
            <w:pPr>
              <w:spacing w:after="0"/>
            </w:pPr>
            <w:r>
              <w:rPr>
                <w:b/>
                <w:sz w:val="16"/>
              </w:rPr>
              <w:t>Institute</w:t>
            </w:r>
          </w:p>
        </w:tc>
        <w:tc>
          <w:tcPr>
            <w:tcW w:type="dxa" w:w="2232"/>
            <w:shd w:fill="E8F0F8"/>
            <w:vAlign w:val="center"/>
          </w:tcPr>
          <w:p>
            <w:pPr>
              <w:spacing w:after="0"/>
            </w:pPr>
            <w:r>
              <w:rPr>
                <w:b/>
                <w:sz w:val="16"/>
              </w:rPr>
              <w:t>Full Name</w:t>
            </w:r>
          </w:p>
        </w:tc>
        <w:tc>
          <w:tcPr>
            <w:tcW w:type="dxa" w:w="1224"/>
            <w:shd w:fill="E8F0F8"/>
            <w:vAlign w:val="center"/>
          </w:tcPr>
          <w:p>
            <w:pPr>
              <w:spacing w:after="0"/>
            </w:pPr>
            <w:r>
              <w:rPr>
                <w:b/>
                <w:sz w:val="16"/>
              </w:rPr>
              <w:t>Relevant Projects Found</w:t>
            </w:r>
          </w:p>
        </w:tc>
        <w:tc>
          <w:tcPr>
            <w:tcW w:type="dxa" w:w="5832"/>
            <w:shd w:fill="E8F0F8"/>
            <w:vAlign w:val="center"/>
          </w:tcPr>
          <w:p>
            <w:pPr>
              <w:spacing w:after="0"/>
            </w:pPr>
            <w:r>
              <w:rPr>
                <w:b/>
                <w:sz w:val="16"/>
              </w:rPr>
              <w:t>Design and Mission Fit</w:t>
            </w:r>
          </w:p>
        </w:tc>
      </w:tr>
      <w:tr>
        <w:trPr>
          <w:cantSplit/>
        </w:trPr>
        <w:tc>
          <w:tcPr>
            <w:tcW w:type="dxa" w:w="936"/>
            <w:vAlign w:val="center"/>
            <w:tcMar>
              <w:top w:w="75" w:type="dxa"/>
              <w:start w:w="85" w:type="dxa"/>
              <w:bottom w:w="75" w:type="dxa"/>
              <w:end w:w="85" w:type="dxa"/>
            </w:tcMar>
          </w:tcPr>
          <w:p>
            <w:pPr>
              <w:spacing w:after="0" w:line="240" w:lineRule="auto"/>
            </w:pPr>
            <w:r>
              <w:rPr>
                <w:rFonts w:ascii="Arial" w:hAnsi="Arial"/>
                <w:sz w:val="16"/>
              </w:rPr>
              <w:t>NIA</w:t>
            </w:r>
          </w:p>
        </w:tc>
        <w:tc>
          <w:tcPr>
            <w:tcW w:type="dxa" w:w="2232"/>
            <w:vAlign w:val="center"/>
            <w:tcMar>
              <w:top w:w="75" w:type="dxa"/>
              <w:start w:w="85" w:type="dxa"/>
              <w:bottom w:w="75" w:type="dxa"/>
              <w:end w:w="85" w:type="dxa"/>
            </w:tcMar>
          </w:tcPr>
          <w:p>
            <w:pPr>
              <w:spacing w:after="0" w:line="240" w:lineRule="auto"/>
            </w:pPr>
            <w:r>
              <w:rPr>
                <w:rFonts w:ascii="Arial" w:hAnsi="Arial"/>
                <w:sz w:val="16"/>
              </w:rPr>
              <w:t>National Institute on Aging</w:t>
            </w:r>
          </w:p>
        </w:tc>
        <w:tc>
          <w:tcPr>
            <w:tcW w:type="dxa" w:w="1224"/>
            <w:vAlign w:val="center"/>
            <w:tcMar>
              <w:top w:w="75" w:type="dxa"/>
              <w:start w:w="85" w:type="dxa"/>
              <w:bottom w:w="75" w:type="dxa"/>
              <w:end w:w="85" w:type="dxa"/>
            </w:tcMar>
          </w:tcPr>
          <w:p>
            <w:pPr>
              <w:spacing w:after="0" w:line="240" w:lineRule="auto"/>
            </w:pPr>
            <w:r>
              <w:rPr>
                <w:rFonts w:ascii="Arial" w:hAnsi="Arial"/>
                <w:sz w:val="16"/>
              </w:rPr>
              <w:t>11 unique directly or closely relevant awards in refined top results</w:t>
            </w:r>
          </w:p>
        </w:tc>
        <w:tc>
          <w:tcPr>
            <w:tcW w:type="dxa" w:w="5832"/>
            <w:vAlign w:val="center"/>
            <w:tcMar>
              <w:top w:w="75" w:type="dxa"/>
              <w:start w:w="85" w:type="dxa"/>
              <w:bottom w:w="75" w:type="dxa"/>
              <w:end w:w="85" w:type="dxa"/>
            </w:tcMar>
          </w:tcPr>
          <w:p>
            <w:pPr>
              <w:spacing w:after="0" w:line="240" w:lineRule="auto"/>
            </w:pPr>
            <w:r>
              <w:rPr>
                <w:rFonts w:ascii="Arial" w:hAnsi="Arial"/>
                <w:sz w:val="16"/>
              </w:rPr>
              <w:t>Primary fit. Older adults, hospital delirium, mobility, sleep, prediction, and age friendly care dominate the relevant portfolio.</w:t>
            </w:r>
          </w:p>
        </w:tc>
      </w:tr>
      <w:tr>
        <w:trPr>
          <w:cantSplit/>
        </w:trPr>
        <w:tc>
          <w:tcPr>
            <w:tcW w:type="dxa" w:w="936"/>
            <w:vAlign w:val="center"/>
            <w:tcMar>
              <w:top w:w="75" w:type="dxa"/>
              <w:start w:w="85" w:type="dxa"/>
              <w:bottom w:w="75" w:type="dxa"/>
              <w:end w:w="85" w:type="dxa"/>
            </w:tcMar>
            <w:shd w:fill="F5F8FC"/>
          </w:tcPr>
          <w:p>
            <w:pPr>
              <w:spacing w:after="0" w:line="240" w:lineRule="auto"/>
            </w:pPr>
            <w:r>
              <w:rPr>
                <w:rFonts w:ascii="Arial" w:hAnsi="Arial"/>
                <w:sz w:val="16"/>
              </w:rPr>
              <w:t>NINR</w:t>
            </w:r>
          </w:p>
        </w:tc>
        <w:tc>
          <w:tcPr>
            <w:tcW w:type="dxa" w:w="2232"/>
            <w:vAlign w:val="center"/>
            <w:tcMar>
              <w:top w:w="75" w:type="dxa"/>
              <w:start w:w="85" w:type="dxa"/>
              <w:bottom w:w="75" w:type="dxa"/>
              <w:end w:w="85" w:type="dxa"/>
            </w:tcMar>
            <w:shd w:fill="F5F8FC"/>
          </w:tcPr>
          <w:p>
            <w:pPr>
              <w:spacing w:after="0" w:line="240" w:lineRule="auto"/>
            </w:pPr>
            <w:r>
              <w:rPr>
                <w:rFonts w:ascii="Arial" w:hAnsi="Arial"/>
                <w:sz w:val="16"/>
              </w:rPr>
              <w:t>National Institute of Nursing Research</w:t>
            </w:r>
          </w:p>
        </w:tc>
        <w:tc>
          <w:tcPr>
            <w:tcW w:type="dxa" w:w="1224"/>
            <w:vAlign w:val="center"/>
            <w:tcMar>
              <w:top w:w="75" w:type="dxa"/>
              <w:start w:w="85" w:type="dxa"/>
              <w:bottom w:w="75" w:type="dxa"/>
              <w:end w:w="85" w:type="dxa"/>
            </w:tcMar>
            <w:shd w:fill="F5F8FC"/>
          </w:tcPr>
          <w:p>
            <w:pPr>
              <w:spacing w:after="0" w:line="240" w:lineRule="auto"/>
            </w:pPr>
            <w:r>
              <w:rPr>
                <w:rFonts w:ascii="Arial" w:hAnsi="Arial"/>
                <w:sz w:val="16"/>
              </w:rPr>
              <w:t>2 unique directly relevant awards</w:t>
            </w:r>
          </w:p>
        </w:tc>
        <w:tc>
          <w:tcPr>
            <w:tcW w:type="dxa" w:w="5832"/>
            <w:vAlign w:val="center"/>
            <w:tcMar>
              <w:top w:w="75" w:type="dxa"/>
              <w:start w:w="85" w:type="dxa"/>
              <w:bottom w:w="75" w:type="dxa"/>
              <w:end w:w="85" w:type="dxa"/>
            </w:tcMar>
            <w:shd w:fill="F5F8FC"/>
          </w:tcPr>
          <w:p>
            <w:pPr>
              <w:spacing w:after="0" w:line="240" w:lineRule="auto"/>
            </w:pPr>
            <w:r>
              <w:rPr>
                <w:rFonts w:ascii="Arial" w:hAnsi="Arial"/>
                <w:sz w:val="16"/>
              </w:rPr>
              <w:t>Strong secondary fit. Nurse work environment, care delivery, sleep, and delirium mechanisms align with the intervention and implementation emphasis.</w:t>
            </w:r>
          </w:p>
        </w:tc>
      </w:tr>
      <w:tr>
        <w:trPr>
          <w:cantSplit/>
        </w:trPr>
        <w:tc>
          <w:tcPr>
            <w:tcW w:type="dxa" w:w="936"/>
            <w:vAlign w:val="center"/>
            <w:tcMar>
              <w:top w:w="75" w:type="dxa"/>
              <w:start w:w="85" w:type="dxa"/>
              <w:bottom w:w="75" w:type="dxa"/>
              <w:end w:w="85" w:type="dxa"/>
            </w:tcMar>
          </w:tcPr>
          <w:p>
            <w:pPr>
              <w:spacing w:after="0" w:line="240" w:lineRule="auto"/>
            </w:pPr>
            <w:r>
              <w:rPr>
                <w:rFonts w:ascii="Arial" w:hAnsi="Arial"/>
                <w:sz w:val="16"/>
              </w:rPr>
              <w:t>NIGMS</w:t>
            </w:r>
          </w:p>
        </w:tc>
        <w:tc>
          <w:tcPr>
            <w:tcW w:type="dxa" w:w="2232"/>
            <w:vAlign w:val="center"/>
            <w:tcMar>
              <w:top w:w="75" w:type="dxa"/>
              <w:start w:w="85" w:type="dxa"/>
              <w:bottom w:w="75" w:type="dxa"/>
              <w:end w:w="85" w:type="dxa"/>
            </w:tcMar>
          </w:tcPr>
          <w:p>
            <w:pPr>
              <w:spacing w:after="0" w:line="240" w:lineRule="auto"/>
            </w:pPr>
            <w:r>
              <w:rPr>
                <w:rFonts w:ascii="Arial" w:hAnsi="Arial"/>
                <w:sz w:val="16"/>
              </w:rPr>
              <w:t>National Institute of General Medical Sciences</w:t>
            </w:r>
          </w:p>
        </w:tc>
        <w:tc>
          <w:tcPr>
            <w:tcW w:type="dxa" w:w="1224"/>
            <w:vAlign w:val="center"/>
            <w:tcMar>
              <w:top w:w="75" w:type="dxa"/>
              <w:start w:w="85" w:type="dxa"/>
              <w:bottom w:w="75" w:type="dxa"/>
              <w:end w:w="85" w:type="dxa"/>
            </w:tcMar>
          </w:tcPr>
          <w:p>
            <w:pPr>
              <w:spacing w:after="0" w:line="240" w:lineRule="auto"/>
            </w:pPr>
            <w:r>
              <w:rPr>
                <w:rFonts w:ascii="Arial" w:hAnsi="Arial"/>
                <w:sz w:val="16"/>
              </w:rPr>
              <w:t>1 closely related consciousness award</w:t>
            </w:r>
          </w:p>
        </w:tc>
        <w:tc>
          <w:tcPr>
            <w:tcW w:type="dxa" w:w="5832"/>
            <w:vAlign w:val="center"/>
            <w:tcMar>
              <w:top w:w="75" w:type="dxa"/>
              <w:start w:w="85" w:type="dxa"/>
              <w:bottom w:w="75" w:type="dxa"/>
              <w:end w:w="85" w:type="dxa"/>
            </w:tcMar>
          </w:tcPr>
          <w:p>
            <w:pPr>
              <w:spacing w:after="0" w:line="240" w:lineRule="auto"/>
            </w:pPr>
            <w:r>
              <w:rPr>
                <w:rFonts w:ascii="Arial" w:hAnsi="Arial"/>
                <w:sz w:val="16"/>
              </w:rPr>
              <w:t>Secondary only if the proposal shifts toward fundamental mechanisms rather than nursing implementation.</w:t>
            </w:r>
          </w:p>
        </w:tc>
      </w:tr>
      <w:tr>
        <w:trPr>
          <w:cantSplit/>
        </w:trPr>
        <w:tc>
          <w:tcPr>
            <w:tcW w:type="dxa" w:w="936"/>
            <w:vAlign w:val="center"/>
            <w:tcMar>
              <w:top w:w="75" w:type="dxa"/>
              <w:start w:w="85" w:type="dxa"/>
              <w:bottom w:w="75" w:type="dxa"/>
              <w:end w:w="85" w:type="dxa"/>
            </w:tcMar>
            <w:shd w:fill="F5F8FC"/>
          </w:tcPr>
          <w:p>
            <w:pPr>
              <w:spacing w:after="0" w:line="240" w:lineRule="auto"/>
            </w:pPr>
            <w:r>
              <w:rPr>
                <w:rFonts w:ascii="Arial" w:hAnsi="Arial"/>
                <w:sz w:val="16"/>
              </w:rPr>
              <w:t>NINDS</w:t>
            </w:r>
          </w:p>
        </w:tc>
        <w:tc>
          <w:tcPr>
            <w:tcW w:type="dxa" w:w="2232"/>
            <w:vAlign w:val="center"/>
            <w:tcMar>
              <w:top w:w="75" w:type="dxa"/>
              <w:start w:w="85" w:type="dxa"/>
              <w:bottom w:w="75" w:type="dxa"/>
              <w:end w:w="85" w:type="dxa"/>
            </w:tcMar>
            <w:shd w:fill="F5F8FC"/>
          </w:tcPr>
          <w:p>
            <w:pPr>
              <w:spacing w:after="0" w:line="240" w:lineRule="auto"/>
            </w:pPr>
            <w:r>
              <w:rPr>
                <w:rFonts w:ascii="Arial" w:hAnsi="Arial"/>
                <w:sz w:val="16"/>
              </w:rPr>
              <w:t>National Institute of Neurological Disorders and Stroke</w:t>
            </w:r>
          </w:p>
        </w:tc>
        <w:tc>
          <w:tcPr>
            <w:tcW w:type="dxa" w:w="1224"/>
            <w:vAlign w:val="center"/>
            <w:tcMar>
              <w:top w:w="75" w:type="dxa"/>
              <w:start w:w="85" w:type="dxa"/>
              <w:bottom w:w="75" w:type="dxa"/>
              <w:end w:w="85" w:type="dxa"/>
            </w:tcMar>
            <w:shd w:fill="F5F8FC"/>
          </w:tcPr>
          <w:p>
            <w:pPr>
              <w:spacing w:after="0" w:line="240" w:lineRule="auto"/>
            </w:pPr>
            <w:r>
              <w:rPr>
                <w:rFonts w:ascii="Arial" w:hAnsi="Arial"/>
                <w:sz w:val="16"/>
              </w:rPr>
              <w:t>1 post stroke delirium award in the broad top results</w:t>
            </w:r>
          </w:p>
        </w:tc>
        <w:tc>
          <w:tcPr>
            <w:tcW w:type="dxa" w:w="5832"/>
            <w:vAlign w:val="center"/>
            <w:tcMar>
              <w:top w:w="75" w:type="dxa"/>
              <w:start w:w="85" w:type="dxa"/>
              <w:bottom w:w="75" w:type="dxa"/>
              <w:end w:w="85" w:type="dxa"/>
            </w:tcMar>
            <w:shd w:fill="F5F8FC"/>
          </w:tcPr>
          <w:p>
            <w:pPr>
              <w:spacing w:after="0" w:line="240" w:lineRule="auto"/>
            </w:pPr>
            <w:r>
              <w:rPr>
                <w:rFonts w:ascii="Arial" w:hAnsi="Arial"/>
                <w:sz w:val="16"/>
              </w:rPr>
              <w:t>Plausible only for a neurologic or stroke specific population; weaker for general medical surgical inpatients.</w:t>
            </w:r>
          </w:p>
        </w:tc>
      </w:tr>
    </w:tbl>
    <w:p>
      <w:pPr>
        <w:spacing w:after="0"/>
      </w:pPr>
    </w:p>
    <w:p>
      <w:pPr>
        <w:spacing w:after="80" w:line="252" w:lineRule="auto"/>
      </w:pPr>
      <w:r>
        <w:t>Portfolio volume and design fit point in the same direction. NIA is the clear primary assignment because most relevant active records concern delirium in older adults, age friendly hospital care, mobility, sleep, prediction, or implementation. The strongest direct comparator is an NIA R01 developing and prospectively validating machine learning models for hospitalized older adults; its use of continuous monitoring makes it important overlap, but it is not a nurse triggered multicomponent intervention.</w:t>
      </w:r>
    </w:p>
    <w:p>
      <w:pPr>
        <w:spacing w:after="80" w:line="252" w:lineRule="auto"/>
      </w:pPr>
      <w:r>
        <w:t>NINR has fewer records in the returned portfolio but close design fit. One award examines nurse work environments and outcomes in hospitalized older adults with dementia, and another evaluates sleep in ICU delirium. A program officer discussion should test whether the application should be led by NIA because of population and outcome, or by NINR because of nurse led care delivery and implementation. The recommendation should not be based on institute counts alone.</w:t>
      </w:r>
    </w:p>
    <w:p>
      <w:pPr>
        <w:pStyle w:val="Heading1"/>
        <w:keepNext/>
      </w:pPr>
      <w:r>
        <w:t>4. Recommended Funding Opportunities</w:t>
      </w:r>
    </w:p>
    <w:p>
      <w:pPr>
        <w:spacing w:after="80" w:line="252" w:lineRule="auto"/>
      </w:pPr>
      <w:r>
        <w:t>No active Notice of Special Interest was returned in the opportunity numbers attached to the relevant RePORTER projects. The three verified parent opportunities below are therefore the most actionable starting points. Final selection depends on whether the study prospectively assigns participants to the prevention pathway and therefore meets the NIH clinical trial definition.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2016"/>
        <w:gridCol w:w="2016"/>
        <w:gridCol w:w="2016"/>
        <w:gridCol w:w="2016"/>
      </w:tblGrid>
      <w:tr>
        <w:trPr>
          <w:tblHeader w:val="true"/>
        </w:trPr>
        <w:tc>
          <w:tcPr>
            <w:tcW w:type="dxa" w:w="792"/>
            <w:shd w:fill="E8F0F8"/>
            <w:vAlign w:val="center"/>
          </w:tcPr>
          <w:p>
            <w:pPr>
              <w:spacing w:after="0"/>
            </w:pPr>
            <w:r>
              <w:rPr>
                <w:b/>
                <w:sz w:val="15"/>
              </w:rPr>
              <w:t>Mechanism</w:t>
            </w:r>
          </w:p>
        </w:tc>
        <w:tc>
          <w:tcPr>
            <w:tcW w:type="dxa" w:w="1152"/>
            <w:shd w:fill="E8F0F8"/>
            <w:vAlign w:val="center"/>
          </w:tcPr>
          <w:p>
            <w:pPr>
              <w:spacing w:after="0"/>
            </w:pPr>
            <w:r>
              <w:rPr>
                <w:b/>
                <w:sz w:val="15"/>
              </w:rPr>
              <w:t>FOA Number</w:t>
            </w:r>
          </w:p>
        </w:tc>
        <w:tc>
          <w:tcPr>
            <w:tcW w:type="dxa" w:w="1080"/>
            <w:shd w:fill="E8F0F8"/>
            <w:vAlign w:val="center"/>
          </w:tcPr>
          <w:p>
            <w:pPr>
              <w:spacing w:after="0"/>
            </w:pPr>
            <w:r>
              <w:rPr>
                <w:b/>
                <w:sz w:val="15"/>
              </w:rPr>
              <w:t>Institute</w:t>
            </w:r>
          </w:p>
        </w:tc>
        <w:tc>
          <w:tcPr>
            <w:tcW w:type="dxa" w:w="1872"/>
            <w:shd w:fill="E8F0F8"/>
            <w:vAlign w:val="center"/>
          </w:tcPr>
          <w:p>
            <w:pPr>
              <w:spacing w:after="0"/>
            </w:pPr>
            <w:r>
              <w:rPr>
                <w:b/>
                <w:sz w:val="15"/>
              </w:rPr>
              <w:t>Budget &amp; Duration</w:t>
            </w:r>
          </w:p>
        </w:tc>
        <w:tc>
          <w:tcPr>
            <w:tcW w:type="dxa" w:w="5328"/>
            <w:shd w:fill="E8F0F8"/>
            <w:vAlign w:val="center"/>
          </w:tcPr>
          <w:p>
            <w:pPr>
              <w:spacing w:after="0"/>
            </w:pPr>
            <w:r>
              <w:rPr>
                <w:b/>
                <w:sz w:val="15"/>
              </w:rPr>
              <w:t>Fit for the Researcher</w:t>
            </w:r>
          </w:p>
        </w:tc>
      </w:tr>
      <w:tr>
        <w:trPr>
          <w:cantSplit/>
        </w:trPr>
        <w:tc>
          <w:tcPr>
            <w:tcW w:type="dxa" w:w="792"/>
            <w:vAlign w:val="center"/>
            <w:tcMar>
              <w:top w:w="75" w:type="dxa"/>
              <w:start w:w="85" w:type="dxa"/>
              <w:bottom w:w="75" w:type="dxa"/>
              <w:end w:w="85" w:type="dxa"/>
            </w:tcMar>
          </w:tcPr>
          <w:p>
            <w:pPr>
              <w:spacing w:after="0" w:line="240" w:lineRule="auto"/>
            </w:pPr>
            <w:r>
              <w:rPr>
                <w:rFonts w:ascii="Arial" w:hAnsi="Arial"/>
                <w:sz w:val="15"/>
              </w:rPr>
              <w:t>K23</w:t>
            </w:r>
          </w:p>
        </w:tc>
        <w:tc>
          <w:tcPr>
            <w:tcW w:type="dxa" w:w="1152"/>
            <w:vAlign w:val="center"/>
            <w:tcMar>
              <w:top w:w="75" w:type="dxa"/>
              <w:start w:w="85" w:type="dxa"/>
              <w:bottom w:w="75" w:type="dxa"/>
              <w:end w:w="85" w:type="dxa"/>
            </w:tcMar>
          </w:tcPr>
          <w:p>
            <w:pPr>
              <w:spacing w:after="0" w:line="240" w:lineRule="auto"/>
            </w:pPr>
            <w:hyperlink r:id="rId16">
              <w:r>
                <w:rPr>
                  <w:color w:val="0563C1"/>
                  <w:u w:val="single"/>
                </w:rPr>
                <w:t>PA-24-184</w:t>
              </w:r>
            </w:hyperlink>
          </w:p>
        </w:tc>
        <w:tc>
          <w:tcPr>
            <w:tcW w:type="dxa" w:w="1080"/>
            <w:vAlign w:val="center"/>
            <w:tcMar>
              <w:top w:w="75" w:type="dxa"/>
              <w:start w:w="85" w:type="dxa"/>
              <w:bottom w:w="75" w:type="dxa"/>
              <w:end w:w="85" w:type="dxa"/>
            </w:tcMar>
          </w:tcPr>
          <w:p>
            <w:pPr>
              <w:spacing w:after="0" w:line="240" w:lineRule="auto"/>
            </w:pPr>
            <w:r>
              <w:rPr>
                <w:rFonts w:ascii="Arial" w:hAnsi="Arial"/>
                <w:sz w:val="15"/>
              </w:rPr>
              <w:t>NIA or NINR</w:t>
            </w:r>
          </w:p>
        </w:tc>
        <w:tc>
          <w:tcPr>
            <w:tcW w:type="dxa" w:w="1872"/>
            <w:vAlign w:val="center"/>
            <w:tcMar>
              <w:top w:w="75" w:type="dxa"/>
              <w:start w:w="85" w:type="dxa"/>
              <w:bottom w:w="75" w:type="dxa"/>
              <w:end w:w="85" w:type="dxa"/>
            </w:tcMar>
          </w:tcPr>
          <w:p>
            <w:pPr>
              <w:spacing w:after="0" w:line="240" w:lineRule="auto"/>
            </w:pPr>
            <w:r>
              <w:rPr>
                <w:rFonts w:ascii="Arial" w:hAnsi="Arial"/>
                <w:sz w:val="15"/>
              </w:rPr>
              <w:t>Institute specific salary and research support; 3 to 5 years; up to 5 years total</w:t>
            </w:r>
          </w:p>
        </w:tc>
        <w:tc>
          <w:tcPr>
            <w:tcW w:type="dxa" w:w="5328"/>
            <w:vAlign w:val="center"/>
            <w:tcMar>
              <w:top w:w="75" w:type="dxa"/>
              <w:start w:w="85" w:type="dxa"/>
              <w:bottom w:w="75" w:type="dxa"/>
              <w:end w:w="85" w:type="dxa"/>
            </w:tcMar>
          </w:tcPr>
          <w:p>
            <w:pPr>
              <w:spacing w:after="0" w:line="240" w:lineRule="auto"/>
            </w:pPr>
            <w:r>
              <w:rPr>
                <w:rFonts w:ascii="Arial" w:hAnsi="Arial"/>
                <w:sz w:val="15"/>
              </w:rPr>
              <w:t>Best overall if the investigator has a qualifying clinical or nursing doctorate, needs mentoring and protected time, and will lead a clinical trial feasibility study. Requires at least 75 percent effort and a strong mentoring environment.</w:t>
            </w:r>
          </w:p>
        </w:tc>
      </w:tr>
      <w:tr>
        <w:trPr>
          <w:cantSplit/>
        </w:trPr>
        <w:tc>
          <w:tcPr>
            <w:tcW w:type="dxa" w:w="792"/>
            <w:vAlign w:val="center"/>
            <w:tcMar>
              <w:top w:w="75" w:type="dxa"/>
              <w:start w:w="85" w:type="dxa"/>
              <w:bottom w:w="75" w:type="dxa"/>
              <w:end w:w="85" w:type="dxa"/>
            </w:tcMar>
            <w:shd w:fill="F5F8FC"/>
          </w:tcPr>
          <w:p>
            <w:pPr>
              <w:spacing w:after="0" w:line="240" w:lineRule="auto"/>
            </w:pPr>
            <w:r>
              <w:rPr>
                <w:rFonts w:ascii="Arial" w:hAnsi="Arial"/>
                <w:sz w:val="15"/>
              </w:rPr>
              <w:t>R21</w:t>
            </w:r>
          </w:p>
        </w:tc>
        <w:tc>
          <w:tcPr>
            <w:tcW w:type="dxa" w:w="1152"/>
            <w:vAlign w:val="center"/>
            <w:tcMar>
              <w:top w:w="75" w:type="dxa"/>
              <w:start w:w="85" w:type="dxa"/>
              <w:bottom w:w="75" w:type="dxa"/>
              <w:end w:w="85" w:type="dxa"/>
            </w:tcMar>
            <w:shd w:fill="F5F8FC"/>
          </w:tcPr>
          <w:p>
            <w:pPr>
              <w:spacing w:after="0" w:line="240" w:lineRule="auto"/>
            </w:pPr>
            <w:hyperlink r:id="rId17">
              <w:r>
                <w:rPr>
                  <w:color w:val="0563C1"/>
                  <w:u w:val="single"/>
                </w:rPr>
                <w:t>PA-25-306</w:t>
              </w:r>
            </w:hyperlink>
          </w:p>
        </w:tc>
        <w:tc>
          <w:tcPr>
            <w:tcW w:type="dxa" w:w="1080"/>
            <w:vAlign w:val="center"/>
            <w:tcMar>
              <w:top w:w="75" w:type="dxa"/>
              <w:start w:w="85" w:type="dxa"/>
              <w:bottom w:w="75" w:type="dxa"/>
              <w:end w:w="85" w:type="dxa"/>
            </w:tcMar>
            <w:shd w:fill="F5F8FC"/>
          </w:tcPr>
          <w:p>
            <w:pPr>
              <w:spacing w:after="0" w:line="240" w:lineRule="auto"/>
            </w:pPr>
            <w:r>
              <w:rPr>
                <w:rFonts w:ascii="Arial" w:hAnsi="Arial"/>
                <w:sz w:val="15"/>
              </w:rPr>
              <w:t>NIA or NINR</w:t>
            </w:r>
          </w:p>
        </w:tc>
        <w:tc>
          <w:tcPr>
            <w:tcW w:type="dxa" w:w="1872"/>
            <w:vAlign w:val="center"/>
            <w:tcMar>
              <w:top w:w="75" w:type="dxa"/>
              <w:start w:w="85" w:type="dxa"/>
              <w:bottom w:w="75" w:type="dxa"/>
              <w:end w:w="85" w:type="dxa"/>
            </w:tcMar>
            <w:shd w:fill="F5F8FC"/>
          </w:tcPr>
          <w:p>
            <w:pPr>
              <w:spacing w:after="0" w:line="240" w:lineRule="auto"/>
            </w:pPr>
            <w:r>
              <w:rPr>
                <w:rFonts w:ascii="Arial" w:hAnsi="Arial"/>
                <w:sz w:val="15"/>
              </w:rPr>
              <w:t>$275,000 direct costs over 2 years; normally no more than $200,000 in one year</w:t>
            </w:r>
          </w:p>
        </w:tc>
        <w:tc>
          <w:tcPr>
            <w:tcW w:type="dxa" w:w="5328"/>
            <w:vAlign w:val="center"/>
            <w:tcMar>
              <w:top w:w="75" w:type="dxa"/>
              <w:start w:w="85" w:type="dxa"/>
              <w:bottom w:w="75" w:type="dxa"/>
              <w:end w:w="85" w:type="dxa"/>
            </w:tcMar>
            <w:shd w:fill="F5F8FC"/>
          </w:tcPr>
          <w:p>
            <w:pPr>
              <w:spacing w:after="0" w:line="240" w:lineRule="auto"/>
            </w:pPr>
            <w:r>
              <w:rPr>
                <w:rFonts w:ascii="Arial" w:hAnsi="Arial"/>
                <w:sz w:val="15"/>
              </w:rPr>
              <w:t>Best project focused option for a feasibility trial with milestone driven device workflow integration and preliminary outcome estimation. Limited preliminary data are acceptable if feasibility and risk are framed clearly.</w:t>
            </w:r>
          </w:p>
        </w:tc>
      </w:tr>
      <w:tr>
        <w:trPr>
          <w:cantSplit/>
        </w:trPr>
        <w:tc>
          <w:tcPr>
            <w:tcW w:type="dxa" w:w="792"/>
            <w:vAlign w:val="center"/>
            <w:tcMar>
              <w:top w:w="75" w:type="dxa"/>
              <w:start w:w="85" w:type="dxa"/>
              <w:bottom w:w="75" w:type="dxa"/>
              <w:end w:w="85" w:type="dxa"/>
            </w:tcMar>
          </w:tcPr>
          <w:p>
            <w:pPr>
              <w:spacing w:after="0" w:line="240" w:lineRule="auto"/>
            </w:pPr>
            <w:r>
              <w:rPr>
                <w:rFonts w:ascii="Arial" w:hAnsi="Arial"/>
                <w:sz w:val="15"/>
              </w:rPr>
              <w:t>R21</w:t>
            </w:r>
          </w:p>
        </w:tc>
        <w:tc>
          <w:tcPr>
            <w:tcW w:type="dxa" w:w="1152"/>
            <w:vAlign w:val="center"/>
            <w:tcMar>
              <w:top w:w="75" w:type="dxa"/>
              <w:start w:w="85" w:type="dxa"/>
              <w:bottom w:w="75" w:type="dxa"/>
              <w:end w:w="85" w:type="dxa"/>
            </w:tcMar>
          </w:tcPr>
          <w:p>
            <w:pPr>
              <w:spacing w:after="0" w:line="240" w:lineRule="auto"/>
            </w:pPr>
            <w:hyperlink r:id="rId18">
              <w:r>
                <w:rPr>
                  <w:color w:val="0563C1"/>
                  <w:u w:val="single"/>
                </w:rPr>
                <w:t>PA-25-304</w:t>
              </w:r>
            </w:hyperlink>
          </w:p>
        </w:tc>
        <w:tc>
          <w:tcPr>
            <w:tcW w:type="dxa" w:w="1080"/>
            <w:vAlign w:val="center"/>
            <w:tcMar>
              <w:top w:w="75" w:type="dxa"/>
              <w:start w:w="85" w:type="dxa"/>
              <w:bottom w:w="75" w:type="dxa"/>
              <w:end w:w="85" w:type="dxa"/>
            </w:tcMar>
          </w:tcPr>
          <w:p>
            <w:pPr>
              <w:spacing w:after="0" w:line="240" w:lineRule="auto"/>
            </w:pPr>
            <w:r>
              <w:rPr>
                <w:rFonts w:ascii="Arial" w:hAnsi="Arial"/>
                <w:sz w:val="15"/>
              </w:rPr>
              <w:t>NIA or NINR</w:t>
            </w:r>
          </w:p>
        </w:tc>
        <w:tc>
          <w:tcPr>
            <w:tcW w:type="dxa" w:w="1872"/>
            <w:vAlign w:val="center"/>
            <w:tcMar>
              <w:top w:w="75" w:type="dxa"/>
              <w:start w:w="85" w:type="dxa"/>
              <w:bottom w:w="75" w:type="dxa"/>
              <w:end w:w="85" w:type="dxa"/>
            </w:tcMar>
          </w:tcPr>
          <w:p>
            <w:pPr>
              <w:spacing w:after="0" w:line="240" w:lineRule="auto"/>
            </w:pPr>
            <w:r>
              <w:rPr>
                <w:rFonts w:ascii="Arial" w:hAnsi="Arial"/>
                <w:sz w:val="15"/>
              </w:rPr>
              <w:t>$275,000 direct costs over 2 years; normally no more than $200,000 in one year</w:t>
            </w:r>
          </w:p>
        </w:tc>
        <w:tc>
          <w:tcPr>
            <w:tcW w:type="dxa" w:w="5328"/>
            <w:vAlign w:val="center"/>
            <w:tcMar>
              <w:top w:w="75" w:type="dxa"/>
              <w:start w:w="85" w:type="dxa"/>
              <w:bottom w:w="75" w:type="dxa"/>
              <w:end w:w="85" w:type="dxa"/>
            </w:tcMar>
          </w:tcPr>
          <w:p>
            <w:pPr>
              <w:spacing w:after="0" w:line="240" w:lineRule="auto"/>
            </w:pPr>
            <w:r>
              <w:rPr>
                <w:rFonts w:ascii="Arial" w:hAnsi="Arial"/>
                <w:sz w:val="15"/>
              </w:rPr>
              <w:t>Use only if the design is not an NIH defined clinical trial, such as observational threshold development, usability testing, or prospective validation without assigned intervention.</w:t>
            </w:r>
          </w:p>
        </w:tc>
      </w:tr>
      <w:tr>
        <w:trPr>
          <w:cantSplit/>
        </w:trPr>
        <w:tc>
          <w:tcPr>
            <w:tcW w:type="dxa" w:w="792"/>
            <w:vAlign w:val="center"/>
            <w:tcMar>
              <w:top w:w="75" w:type="dxa"/>
              <w:start w:w="85" w:type="dxa"/>
              <w:bottom w:w="75" w:type="dxa"/>
              <w:end w:w="85" w:type="dxa"/>
            </w:tcMar>
            <w:shd w:fill="F5F8FC"/>
          </w:tcPr>
          <w:p>
            <w:pPr>
              <w:spacing w:after="0" w:line="240" w:lineRule="auto"/>
            </w:pPr>
            <w:r>
              <w:rPr>
                <w:rFonts w:ascii="Arial" w:hAnsi="Arial"/>
                <w:sz w:val="15"/>
              </w:rPr>
              <w:t>R03</w:t>
            </w:r>
          </w:p>
        </w:tc>
        <w:tc>
          <w:tcPr>
            <w:tcW w:type="dxa" w:w="1152"/>
            <w:vAlign w:val="center"/>
            <w:tcMar>
              <w:top w:w="75" w:type="dxa"/>
              <w:start w:w="85" w:type="dxa"/>
              <w:bottom w:w="75" w:type="dxa"/>
              <w:end w:w="85" w:type="dxa"/>
            </w:tcMar>
            <w:shd w:fill="F5F8FC"/>
          </w:tcPr>
          <w:p>
            <w:pPr>
              <w:spacing w:after="0" w:line="240" w:lineRule="auto"/>
            </w:pPr>
            <w:hyperlink r:id="rId19">
              <w:r>
                <w:rPr>
                  <w:color w:val="0563C1"/>
                  <w:u w:val="single"/>
                </w:rPr>
                <w:t>PA-25-302</w:t>
              </w:r>
            </w:hyperlink>
          </w:p>
        </w:tc>
        <w:tc>
          <w:tcPr>
            <w:tcW w:type="dxa" w:w="1080"/>
            <w:vAlign w:val="center"/>
            <w:tcMar>
              <w:top w:w="75" w:type="dxa"/>
              <w:start w:w="85" w:type="dxa"/>
              <w:bottom w:w="75" w:type="dxa"/>
              <w:end w:w="85" w:type="dxa"/>
            </w:tcMar>
            <w:shd w:fill="F5F8FC"/>
          </w:tcPr>
          <w:p>
            <w:pPr>
              <w:spacing w:after="0" w:line="240" w:lineRule="auto"/>
            </w:pPr>
            <w:r>
              <w:rPr>
                <w:rFonts w:ascii="Arial" w:hAnsi="Arial"/>
                <w:sz w:val="15"/>
              </w:rPr>
              <w:t>NIA</w:t>
            </w:r>
          </w:p>
        </w:tc>
        <w:tc>
          <w:tcPr>
            <w:tcW w:type="dxa" w:w="1872"/>
            <w:vAlign w:val="center"/>
            <w:tcMar>
              <w:top w:w="75" w:type="dxa"/>
              <w:start w:w="85" w:type="dxa"/>
              <w:bottom w:w="75" w:type="dxa"/>
              <w:end w:w="85" w:type="dxa"/>
            </w:tcMar>
            <w:shd w:fill="F5F8FC"/>
          </w:tcPr>
          <w:p>
            <w:pPr>
              <w:spacing w:after="0" w:line="240" w:lineRule="auto"/>
            </w:pPr>
            <w:r>
              <w:rPr>
                <w:rFonts w:ascii="Arial" w:hAnsi="Arial"/>
                <w:sz w:val="15"/>
              </w:rPr>
              <w:t>$50,000 direct costs per year for up to 2 years</w:t>
            </w:r>
          </w:p>
        </w:tc>
        <w:tc>
          <w:tcPr>
            <w:tcW w:type="dxa" w:w="5328"/>
            <w:vAlign w:val="center"/>
            <w:tcMar>
              <w:top w:w="75" w:type="dxa"/>
              <w:start w:w="85" w:type="dxa"/>
              <w:bottom w:w="75" w:type="dxa"/>
              <w:end w:w="85" w:type="dxa"/>
            </w:tcMar>
            <w:shd w:fill="F5F8FC"/>
          </w:tcPr>
          <w:p>
            <w:pPr>
              <w:spacing w:after="0" w:line="240" w:lineRule="auto"/>
            </w:pPr>
            <w:r>
              <w:rPr>
                <w:rFonts w:ascii="Arial" w:hAnsi="Arial"/>
                <w:sz w:val="15"/>
              </w:rPr>
              <w:t>Fallback for a tightly bounded observational or methods pilot. The budget is likely too small for a full wearable plus intervention feasibility trial across several units.</w:t>
            </w:r>
          </w:p>
        </w:tc>
      </w:tr>
    </w:tbl>
    <w:p>
      <w:pPr>
        <w:spacing w:after="0"/>
      </w:pPr>
    </w:p>
    <w:p>
      <w:pPr>
        <w:pStyle w:val="Heading2"/>
        <w:keepNext/>
      </w:pPr>
      <w:r>
        <w:t>Mechanism interpretation</w:t>
      </w:r>
    </w:p>
    <w:p>
      <w:pPr>
        <w:spacing w:after="80" w:line="252" w:lineRule="auto"/>
      </w:pPr>
      <w:r>
        <w:t>The K23 can support the investigator and the science together. It is especially attractive if the faculty member needs formal training in gerontology, actigraphy, clinical trial design, implementation science, and predictive modeling. A smaller public university is eligible, but the application must demonstrate an environment capable of supporting the candidate. The regional health system should provide a clinical mentor, recruitment access, data infrastructure, and documented commitment; a quantitative or digital health mentor should address signal processing and calibration.</w:t>
      </w:r>
    </w:p>
    <w:p>
      <w:pPr>
        <w:spacing w:after="80" w:line="252" w:lineRule="auto"/>
      </w:pPr>
      <w:r>
        <w:t>The R21 is better when the investigator already has sufficient mentorship and protected time outside the award and wants to fund the project rather than a career development plan. A two year scope should focus on feasibility and calibration: one or two units, one wearable platform, a limited alert rule, prespecified nursing responses, and a small set of implementation and clinical outcomes. Avoid promising a definitive reduction in delirium incidence unless recruitment and baseline rates support adequate power.</w:t>
      </w:r>
    </w:p>
    <w:p>
      <w:pPr>
        <w:pStyle w:val="Heading1"/>
        <w:keepNext/>
      </w:pPr>
      <w:r>
        <w:t>5. Similar Funded Research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2016"/>
        <w:gridCol w:w="2016"/>
        <w:gridCol w:w="2016"/>
        <w:gridCol w:w="2016"/>
      </w:tblGrid>
      <w:tr>
        <w:trPr>
          <w:tblHeader w:val="true"/>
        </w:trPr>
        <w:tc>
          <w:tcPr>
            <w:tcW w:type="dxa" w:w="3672"/>
            <w:shd w:fill="E8F0F8"/>
            <w:vAlign w:val="center"/>
          </w:tcPr>
          <w:p>
            <w:pPr>
              <w:spacing w:after="0"/>
            </w:pPr>
            <w:r>
              <w:rPr>
                <w:b/>
                <w:sz w:val="15"/>
              </w:rPr>
              <w:t>Project Title</w:t>
            </w:r>
          </w:p>
        </w:tc>
        <w:tc>
          <w:tcPr>
            <w:tcW w:type="dxa" w:w="1728"/>
            <w:shd w:fill="E8F0F8"/>
            <w:vAlign w:val="center"/>
          </w:tcPr>
          <w:p>
            <w:pPr>
              <w:spacing w:after="0"/>
            </w:pPr>
            <w:r>
              <w:rPr>
                <w:b/>
                <w:sz w:val="15"/>
              </w:rPr>
              <w:t>PI</w:t>
            </w:r>
          </w:p>
        </w:tc>
        <w:tc>
          <w:tcPr>
            <w:tcW w:type="dxa" w:w="1944"/>
            <w:shd w:fill="E8F0F8"/>
            <w:vAlign w:val="center"/>
          </w:tcPr>
          <w:p>
            <w:pPr>
              <w:spacing w:after="0"/>
            </w:pPr>
            <w:r>
              <w:rPr>
                <w:b/>
                <w:sz w:val="15"/>
              </w:rPr>
              <w:t>Institution</w:t>
            </w:r>
          </w:p>
        </w:tc>
        <w:tc>
          <w:tcPr>
            <w:tcW w:type="dxa" w:w="1728"/>
            <w:shd w:fill="E8F0F8"/>
            <w:vAlign w:val="center"/>
          </w:tcPr>
          <w:p>
            <w:pPr>
              <w:spacing w:after="0"/>
            </w:pPr>
            <w:r>
              <w:rPr>
                <w:b/>
                <w:sz w:val="15"/>
              </w:rPr>
              <w:t>Award / Fiscal Year</w:t>
            </w:r>
          </w:p>
        </w:tc>
        <w:tc>
          <w:tcPr>
            <w:tcW w:type="dxa" w:w="1008"/>
            <w:shd w:fill="E8F0F8"/>
            <w:vAlign w:val="center"/>
          </w:tcPr>
          <w:p>
            <w:pPr>
              <w:spacing w:after="0"/>
            </w:pPr>
            <w:r>
              <w:rPr>
                <w:b/>
                <w:sz w:val="15"/>
              </w:rPr>
              <w:t>Link</w:t>
            </w:r>
          </w:p>
        </w:tc>
      </w:tr>
      <w:tr>
        <w:trPr>
          <w:cantSplit/>
        </w:trPr>
        <w:tc>
          <w:tcPr>
            <w:tcW w:type="dxa" w:w="3672"/>
            <w:vAlign w:val="center"/>
            <w:tcMar>
              <w:top w:w="75" w:type="dxa"/>
              <w:start w:w="85" w:type="dxa"/>
              <w:bottom w:w="75" w:type="dxa"/>
              <w:end w:w="85" w:type="dxa"/>
            </w:tcMar>
          </w:tcPr>
          <w:p>
            <w:pPr>
              <w:spacing w:after="0" w:line="240" w:lineRule="auto"/>
            </w:pPr>
            <w:r>
              <w:rPr>
                <w:rFonts w:ascii="Arial" w:hAnsi="Arial"/>
                <w:sz w:val="15"/>
              </w:rPr>
              <w:t>Machine Learning Models to Identify and Predict Delirium in Hospitalized Older Adults</w:t>
            </w:r>
          </w:p>
        </w:tc>
        <w:tc>
          <w:tcPr>
            <w:tcW w:type="dxa" w:w="1728"/>
            <w:vAlign w:val="center"/>
            <w:tcMar>
              <w:top w:w="75" w:type="dxa"/>
              <w:start w:w="85" w:type="dxa"/>
              <w:bottom w:w="75" w:type="dxa"/>
              <w:end w:w="85" w:type="dxa"/>
            </w:tcMar>
          </w:tcPr>
          <w:p>
            <w:pPr>
              <w:spacing w:after="0" w:line="240" w:lineRule="auto"/>
            </w:pPr>
            <w:r>
              <w:rPr>
                <w:rFonts w:ascii="Arial" w:hAnsi="Arial"/>
                <w:sz w:val="15"/>
              </w:rPr>
              <w:t>Liron D. Sinvani; Alex Makhnevich; Theodoros Zanos</w:t>
            </w:r>
          </w:p>
        </w:tc>
        <w:tc>
          <w:tcPr>
            <w:tcW w:type="dxa" w:w="1944"/>
            <w:vAlign w:val="center"/>
            <w:tcMar>
              <w:top w:w="75" w:type="dxa"/>
              <w:start w:w="85" w:type="dxa"/>
              <w:bottom w:w="75" w:type="dxa"/>
              <w:end w:w="85" w:type="dxa"/>
            </w:tcMar>
          </w:tcPr>
          <w:p>
            <w:pPr>
              <w:spacing w:after="0" w:line="240" w:lineRule="auto"/>
            </w:pPr>
            <w:r>
              <w:rPr>
                <w:rFonts w:ascii="Arial" w:hAnsi="Arial"/>
                <w:sz w:val="15"/>
              </w:rPr>
              <w:t>Feinstein Institute for Medical Research</w:t>
            </w:r>
          </w:p>
        </w:tc>
        <w:tc>
          <w:tcPr>
            <w:tcW w:type="dxa" w:w="1728"/>
            <w:vAlign w:val="center"/>
            <w:tcMar>
              <w:top w:w="75" w:type="dxa"/>
              <w:start w:w="85" w:type="dxa"/>
              <w:bottom w:w="75" w:type="dxa"/>
              <w:end w:w="85" w:type="dxa"/>
            </w:tcMar>
          </w:tcPr>
          <w:p>
            <w:pPr>
              <w:spacing w:after="0" w:line="240" w:lineRule="auto"/>
            </w:pPr>
            <w:r>
              <w:rPr>
                <w:rFonts w:ascii="Arial" w:hAnsi="Arial"/>
                <w:sz w:val="15"/>
              </w:rPr>
              <w:t>R01AG100193; FY 2026; $698,456</w:t>
            </w:r>
          </w:p>
        </w:tc>
        <w:tc>
          <w:tcPr>
            <w:tcW w:type="dxa" w:w="1008"/>
            <w:vAlign w:val="center"/>
            <w:tcMar>
              <w:top w:w="75" w:type="dxa"/>
              <w:start w:w="85" w:type="dxa"/>
              <w:bottom w:w="75" w:type="dxa"/>
              <w:end w:w="85" w:type="dxa"/>
            </w:tcMar>
          </w:tcPr>
          <w:p>
            <w:pPr>
              <w:spacing w:after="0" w:line="240" w:lineRule="auto"/>
            </w:pPr>
            <w:hyperlink r:id="rId20">
              <w:r>
                <w:rPr>
                  <w:color w:val="0563C1"/>
                  <w:u w:val="single"/>
                </w:rPr>
                <w:t>NIH RePORTER</w:t>
              </w:r>
            </w:hyperlink>
          </w:p>
        </w:tc>
      </w:tr>
      <w:tr>
        <w:trPr>
          <w:cantSplit/>
        </w:trPr>
        <w:tc>
          <w:tcPr>
            <w:tcW w:type="dxa" w:w="3672"/>
            <w:vAlign w:val="center"/>
            <w:tcMar>
              <w:top w:w="75" w:type="dxa"/>
              <w:start w:w="85" w:type="dxa"/>
              <w:bottom w:w="75" w:type="dxa"/>
              <w:end w:w="85" w:type="dxa"/>
            </w:tcMar>
            <w:shd w:fill="F5F8FC"/>
          </w:tcPr>
          <w:p>
            <w:pPr>
              <w:spacing w:after="0" w:line="240" w:lineRule="auto"/>
            </w:pPr>
            <w:r>
              <w:rPr>
                <w:rFonts w:ascii="Arial" w:hAnsi="Arial"/>
                <w:sz w:val="15"/>
              </w:rPr>
              <w:t>READI SET GO Sustaining Effective Translation to Create Gero Friendly Organizations</w:t>
            </w:r>
          </w:p>
        </w:tc>
        <w:tc>
          <w:tcPr>
            <w:tcW w:type="dxa" w:w="1728"/>
            <w:vAlign w:val="center"/>
            <w:tcMar>
              <w:top w:w="75" w:type="dxa"/>
              <w:start w:w="85" w:type="dxa"/>
              <w:bottom w:w="75" w:type="dxa"/>
              <w:end w:w="85" w:type="dxa"/>
            </w:tcMar>
            <w:shd w:fill="F5F8FC"/>
          </w:tcPr>
          <w:p>
            <w:pPr>
              <w:spacing w:after="0" w:line="240" w:lineRule="auto"/>
            </w:pPr>
            <w:r>
              <w:rPr>
                <w:rFonts w:ascii="Arial" w:hAnsi="Arial"/>
                <w:sz w:val="15"/>
              </w:rPr>
              <w:t>Donna M. Fick; Edward R. Marcantonio</w:t>
            </w:r>
          </w:p>
        </w:tc>
        <w:tc>
          <w:tcPr>
            <w:tcW w:type="dxa" w:w="1944"/>
            <w:vAlign w:val="center"/>
            <w:tcMar>
              <w:top w:w="75" w:type="dxa"/>
              <w:start w:w="85" w:type="dxa"/>
              <w:bottom w:w="75" w:type="dxa"/>
              <w:end w:w="85" w:type="dxa"/>
            </w:tcMar>
            <w:shd w:fill="F5F8FC"/>
          </w:tcPr>
          <w:p>
            <w:pPr>
              <w:spacing w:after="0" w:line="240" w:lineRule="auto"/>
            </w:pPr>
            <w:r>
              <w:rPr>
                <w:rFonts w:ascii="Arial" w:hAnsi="Arial"/>
                <w:sz w:val="15"/>
              </w:rPr>
              <w:t>Pennsylvania State University</w:t>
            </w:r>
          </w:p>
        </w:tc>
        <w:tc>
          <w:tcPr>
            <w:tcW w:type="dxa" w:w="1728"/>
            <w:vAlign w:val="center"/>
            <w:tcMar>
              <w:top w:w="75" w:type="dxa"/>
              <w:start w:w="85" w:type="dxa"/>
              <w:bottom w:w="75" w:type="dxa"/>
              <w:end w:w="85" w:type="dxa"/>
            </w:tcMar>
            <w:shd w:fill="F5F8FC"/>
          </w:tcPr>
          <w:p>
            <w:pPr>
              <w:spacing w:after="0" w:line="240" w:lineRule="auto"/>
            </w:pPr>
            <w:r>
              <w:rPr>
                <w:rFonts w:ascii="Arial" w:hAnsi="Arial"/>
                <w:sz w:val="15"/>
              </w:rPr>
              <w:t>R01AG030618; FY 2026; $748,425</w:t>
            </w:r>
          </w:p>
        </w:tc>
        <w:tc>
          <w:tcPr>
            <w:tcW w:type="dxa" w:w="1008"/>
            <w:vAlign w:val="center"/>
            <w:tcMar>
              <w:top w:w="75" w:type="dxa"/>
              <w:start w:w="85" w:type="dxa"/>
              <w:bottom w:w="75" w:type="dxa"/>
              <w:end w:w="85" w:type="dxa"/>
            </w:tcMar>
            <w:shd w:fill="F5F8FC"/>
          </w:tcPr>
          <w:p>
            <w:pPr>
              <w:spacing w:after="0" w:line="240" w:lineRule="auto"/>
            </w:pPr>
            <w:hyperlink r:id="rId21">
              <w:r>
                <w:rPr>
                  <w:color w:val="0563C1"/>
                  <w:u w:val="single"/>
                </w:rPr>
                <w:t>NIH RePORTER</w:t>
              </w:r>
            </w:hyperlink>
          </w:p>
        </w:tc>
      </w:tr>
      <w:tr>
        <w:trPr>
          <w:cantSplit/>
        </w:trPr>
        <w:tc>
          <w:tcPr>
            <w:tcW w:type="dxa" w:w="3672"/>
            <w:vAlign w:val="center"/>
            <w:tcMar>
              <w:top w:w="75" w:type="dxa"/>
              <w:start w:w="85" w:type="dxa"/>
              <w:bottom w:w="75" w:type="dxa"/>
              <w:end w:w="85" w:type="dxa"/>
            </w:tcMar>
          </w:tcPr>
          <w:p>
            <w:pPr>
              <w:spacing w:after="0" w:line="240" w:lineRule="auto"/>
            </w:pPr>
            <w:r>
              <w:rPr>
                <w:rFonts w:ascii="Arial" w:hAnsi="Arial"/>
                <w:sz w:val="15"/>
              </w:rPr>
              <w:t>Evaluating the Impact of the Nurse Work Environment on Outcomes for Hospitalized Older Adults Living with ADRD</w:t>
            </w:r>
          </w:p>
        </w:tc>
        <w:tc>
          <w:tcPr>
            <w:tcW w:type="dxa" w:w="1728"/>
            <w:vAlign w:val="center"/>
            <w:tcMar>
              <w:top w:w="75" w:type="dxa"/>
              <w:start w:w="85" w:type="dxa"/>
              <w:bottom w:w="75" w:type="dxa"/>
              <w:end w:w="85" w:type="dxa"/>
            </w:tcMar>
          </w:tcPr>
          <w:p>
            <w:pPr>
              <w:spacing w:after="0" w:line="240" w:lineRule="auto"/>
            </w:pPr>
            <w:r>
              <w:rPr>
                <w:rFonts w:ascii="Arial" w:hAnsi="Arial"/>
                <w:sz w:val="15"/>
              </w:rPr>
              <w:t>Matthew D. McHugh</w:t>
            </w:r>
          </w:p>
        </w:tc>
        <w:tc>
          <w:tcPr>
            <w:tcW w:type="dxa" w:w="1944"/>
            <w:vAlign w:val="center"/>
            <w:tcMar>
              <w:top w:w="75" w:type="dxa"/>
              <w:start w:w="85" w:type="dxa"/>
              <w:bottom w:w="75" w:type="dxa"/>
              <w:end w:w="85" w:type="dxa"/>
            </w:tcMar>
          </w:tcPr>
          <w:p>
            <w:pPr>
              <w:spacing w:after="0" w:line="240" w:lineRule="auto"/>
            </w:pPr>
            <w:r>
              <w:rPr>
                <w:rFonts w:ascii="Arial" w:hAnsi="Arial"/>
                <w:sz w:val="15"/>
              </w:rPr>
              <w:t>University of Pennsylvania</w:t>
            </w:r>
          </w:p>
        </w:tc>
        <w:tc>
          <w:tcPr>
            <w:tcW w:type="dxa" w:w="1728"/>
            <w:vAlign w:val="center"/>
            <w:tcMar>
              <w:top w:w="75" w:type="dxa"/>
              <w:start w:w="85" w:type="dxa"/>
              <w:bottom w:w="75" w:type="dxa"/>
              <w:end w:w="85" w:type="dxa"/>
            </w:tcMar>
          </w:tcPr>
          <w:p>
            <w:pPr>
              <w:spacing w:after="0" w:line="240" w:lineRule="auto"/>
            </w:pPr>
            <w:r>
              <w:rPr>
                <w:rFonts w:ascii="Arial" w:hAnsi="Arial"/>
                <w:sz w:val="15"/>
              </w:rPr>
              <w:t>R01NR022599; FY 2026; $406,250</w:t>
            </w:r>
          </w:p>
        </w:tc>
        <w:tc>
          <w:tcPr>
            <w:tcW w:type="dxa" w:w="1008"/>
            <w:vAlign w:val="center"/>
            <w:tcMar>
              <w:top w:w="75" w:type="dxa"/>
              <w:start w:w="85" w:type="dxa"/>
              <w:bottom w:w="75" w:type="dxa"/>
              <w:end w:w="85" w:type="dxa"/>
            </w:tcMar>
          </w:tcPr>
          <w:p>
            <w:pPr>
              <w:spacing w:after="0" w:line="240" w:lineRule="auto"/>
            </w:pPr>
            <w:hyperlink r:id="rId22">
              <w:r>
                <w:rPr>
                  <w:color w:val="0563C1"/>
                  <w:u w:val="single"/>
                </w:rPr>
                <w:t>NIH RePORTER</w:t>
              </w:r>
            </w:hyperlink>
          </w:p>
        </w:tc>
      </w:tr>
      <w:tr>
        <w:trPr>
          <w:cantSplit/>
        </w:trPr>
        <w:tc>
          <w:tcPr>
            <w:tcW w:type="dxa" w:w="3672"/>
            <w:vAlign w:val="center"/>
            <w:tcMar>
              <w:top w:w="75" w:type="dxa"/>
              <w:start w:w="85" w:type="dxa"/>
              <w:bottom w:w="75" w:type="dxa"/>
              <w:end w:w="85" w:type="dxa"/>
            </w:tcMar>
            <w:shd w:fill="F5F8FC"/>
          </w:tcPr>
          <w:p>
            <w:pPr>
              <w:spacing w:after="0" w:line="240" w:lineRule="auto"/>
            </w:pPr>
            <w:r>
              <w:rPr>
                <w:rFonts w:ascii="Arial" w:hAnsi="Arial"/>
                <w:sz w:val="15"/>
              </w:rPr>
              <w:t>Randomized Trial of Assisted Ambulation to Improve Health Outcomes for Older Medical Inpatients</w:t>
            </w:r>
          </w:p>
        </w:tc>
        <w:tc>
          <w:tcPr>
            <w:tcW w:type="dxa" w:w="1728"/>
            <w:vAlign w:val="center"/>
            <w:tcMar>
              <w:top w:w="75" w:type="dxa"/>
              <w:start w:w="85" w:type="dxa"/>
              <w:bottom w:w="75" w:type="dxa"/>
              <w:end w:w="85" w:type="dxa"/>
            </w:tcMar>
            <w:shd w:fill="F5F8FC"/>
          </w:tcPr>
          <w:p>
            <w:pPr>
              <w:spacing w:after="0" w:line="240" w:lineRule="auto"/>
            </w:pPr>
            <w:r>
              <w:rPr>
                <w:rFonts w:ascii="Arial" w:hAnsi="Arial"/>
                <w:sz w:val="15"/>
              </w:rPr>
              <w:t>Michael B. Rothberg</w:t>
            </w:r>
          </w:p>
        </w:tc>
        <w:tc>
          <w:tcPr>
            <w:tcW w:type="dxa" w:w="1944"/>
            <w:vAlign w:val="center"/>
            <w:tcMar>
              <w:top w:w="75" w:type="dxa"/>
              <w:start w:w="85" w:type="dxa"/>
              <w:bottom w:w="75" w:type="dxa"/>
              <w:end w:w="85" w:type="dxa"/>
            </w:tcMar>
            <w:shd w:fill="F5F8FC"/>
          </w:tcPr>
          <w:p>
            <w:pPr>
              <w:spacing w:after="0" w:line="240" w:lineRule="auto"/>
            </w:pPr>
            <w:r>
              <w:rPr>
                <w:rFonts w:ascii="Arial" w:hAnsi="Arial"/>
                <w:sz w:val="15"/>
              </w:rPr>
              <w:t>Cleveland Clinic Lerner College of Medicine</w:t>
            </w:r>
          </w:p>
        </w:tc>
        <w:tc>
          <w:tcPr>
            <w:tcW w:type="dxa" w:w="1728"/>
            <w:vAlign w:val="center"/>
            <w:tcMar>
              <w:top w:w="75" w:type="dxa"/>
              <w:start w:w="85" w:type="dxa"/>
              <w:bottom w:w="75" w:type="dxa"/>
              <w:end w:w="85" w:type="dxa"/>
            </w:tcMar>
            <w:shd w:fill="F5F8FC"/>
          </w:tcPr>
          <w:p>
            <w:pPr>
              <w:spacing w:after="0" w:line="240" w:lineRule="auto"/>
            </w:pPr>
            <w:r>
              <w:rPr>
                <w:rFonts w:ascii="Arial" w:hAnsi="Arial"/>
                <w:sz w:val="15"/>
              </w:rPr>
              <w:t>R01AG073278; FY 2026; $1,427,402</w:t>
            </w:r>
          </w:p>
        </w:tc>
        <w:tc>
          <w:tcPr>
            <w:tcW w:type="dxa" w:w="1008"/>
            <w:vAlign w:val="center"/>
            <w:tcMar>
              <w:top w:w="75" w:type="dxa"/>
              <w:start w:w="85" w:type="dxa"/>
              <w:bottom w:w="75" w:type="dxa"/>
              <w:end w:w="85" w:type="dxa"/>
            </w:tcMar>
            <w:shd w:fill="F5F8FC"/>
          </w:tcPr>
          <w:p>
            <w:pPr>
              <w:spacing w:after="0" w:line="240" w:lineRule="auto"/>
            </w:pPr>
            <w:hyperlink r:id="rId23">
              <w:r>
                <w:rPr>
                  <w:color w:val="0563C1"/>
                  <w:u w:val="single"/>
                </w:rPr>
                <w:t>NIH RePORTER</w:t>
              </w:r>
            </w:hyperlink>
          </w:p>
        </w:tc>
      </w:tr>
      <w:tr>
        <w:trPr>
          <w:cantSplit/>
        </w:trPr>
        <w:tc>
          <w:tcPr>
            <w:tcW w:type="dxa" w:w="3672"/>
            <w:vAlign w:val="center"/>
            <w:tcMar>
              <w:top w:w="75" w:type="dxa"/>
              <w:start w:w="85" w:type="dxa"/>
              <w:bottom w:w="75" w:type="dxa"/>
              <w:end w:w="85" w:type="dxa"/>
            </w:tcMar>
          </w:tcPr>
          <w:p>
            <w:pPr>
              <w:spacing w:after="0" w:line="240" w:lineRule="auto"/>
            </w:pPr>
            <w:r>
              <w:rPr>
                <w:rFonts w:ascii="Arial" w:hAnsi="Arial"/>
                <w:sz w:val="15"/>
              </w:rPr>
              <w:t>Evaluating the Role of Sleep in the Development of Intensive Care Unit Delirium</w:t>
            </w:r>
          </w:p>
        </w:tc>
        <w:tc>
          <w:tcPr>
            <w:tcW w:type="dxa" w:w="1728"/>
            <w:vAlign w:val="center"/>
            <w:tcMar>
              <w:top w:w="75" w:type="dxa"/>
              <w:start w:w="85" w:type="dxa"/>
              <w:bottom w:w="75" w:type="dxa"/>
              <w:end w:w="85" w:type="dxa"/>
            </w:tcMar>
          </w:tcPr>
          <w:p>
            <w:pPr>
              <w:spacing w:after="0" w:line="240" w:lineRule="auto"/>
            </w:pPr>
            <w:r>
              <w:rPr>
                <w:rFonts w:ascii="Arial" w:hAnsi="Arial"/>
                <w:sz w:val="15"/>
              </w:rPr>
              <w:t>Makayla Cordoza</w:t>
            </w:r>
          </w:p>
        </w:tc>
        <w:tc>
          <w:tcPr>
            <w:tcW w:type="dxa" w:w="1944"/>
            <w:vAlign w:val="center"/>
            <w:tcMar>
              <w:top w:w="75" w:type="dxa"/>
              <w:start w:w="85" w:type="dxa"/>
              <w:bottom w:w="75" w:type="dxa"/>
              <w:end w:w="85" w:type="dxa"/>
            </w:tcMar>
          </w:tcPr>
          <w:p>
            <w:pPr>
              <w:spacing w:after="0" w:line="240" w:lineRule="auto"/>
            </w:pPr>
            <w:r>
              <w:rPr>
                <w:rFonts w:ascii="Arial" w:hAnsi="Arial"/>
                <w:sz w:val="15"/>
              </w:rPr>
              <w:t>Vanderbilt University</w:t>
            </w:r>
          </w:p>
        </w:tc>
        <w:tc>
          <w:tcPr>
            <w:tcW w:type="dxa" w:w="1728"/>
            <w:vAlign w:val="center"/>
            <w:tcMar>
              <w:top w:w="75" w:type="dxa"/>
              <w:start w:w="85" w:type="dxa"/>
              <w:bottom w:w="75" w:type="dxa"/>
              <w:end w:w="85" w:type="dxa"/>
            </w:tcMar>
          </w:tcPr>
          <w:p>
            <w:pPr>
              <w:spacing w:after="0" w:line="240" w:lineRule="auto"/>
            </w:pPr>
            <w:r>
              <w:rPr>
                <w:rFonts w:ascii="Arial" w:hAnsi="Arial"/>
                <w:sz w:val="15"/>
              </w:rPr>
              <w:t>R00NR019862; FY 2025; $237,863</w:t>
            </w:r>
          </w:p>
        </w:tc>
        <w:tc>
          <w:tcPr>
            <w:tcW w:type="dxa" w:w="1008"/>
            <w:vAlign w:val="center"/>
            <w:tcMar>
              <w:top w:w="75" w:type="dxa"/>
              <w:start w:w="85" w:type="dxa"/>
              <w:bottom w:w="75" w:type="dxa"/>
              <w:end w:w="85" w:type="dxa"/>
            </w:tcMar>
          </w:tcPr>
          <w:p>
            <w:pPr>
              <w:spacing w:after="0" w:line="240" w:lineRule="auto"/>
            </w:pPr>
            <w:hyperlink r:id="rId24">
              <w:r>
                <w:rPr>
                  <w:color w:val="0563C1"/>
                  <w:u w:val="single"/>
                </w:rPr>
                <w:t>NIH RePORTER</w:t>
              </w:r>
            </w:hyperlink>
          </w:p>
        </w:tc>
      </w:tr>
    </w:tbl>
    <w:p>
      <w:pPr>
        <w:spacing w:after="0"/>
      </w:pPr>
    </w:p>
    <w:p>
      <w:pPr>
        <w:spacing w:after="80" w:line="252" w:lineRule="auto"/>
      </w:pPr>
      <w:r>
        <w:t>Differentiation: the proposed project should avoid competing as another generic delirium prediction model. It differs by using a low burden wearable signal together with routine nursing assessment, linking detection to an explicit multicomponent nursing response, and measuring whether the alert to action pathway is usable and deliverable in a regional health system. It can also emphasize a smaller and more pragmatic care environment than the large academic portfolios, while using implementation outcomes and an equity aware recruitment plan to strengthen generalizability.</w:t>
      </w:r>
    </w:p>
    <w:p>
      <w:pPr>
        <w:pStyle w:val="Heading1"/>
        <w:keepNext/>
      </w:pPr>
      <w:r>
        <w:t>6. Where This Work Gets Reviewed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20"/>
        <w:gridCol w:w="2520"/>
        <w:gridCol w:w="2520"/>
        <w:gridCol w:w="2520"/>
      </w:tblGrid>
      <w:tr>
        <w:trPr>
          <w:tblHeader w:val="true"/>
        </w:trPr>
        <w:tc>
          <w:tcPr>
            <w:tcW w:type="dxa" w:w="1440"/>
            <w:shd w:fill="E8F0F8"/>
            <w:vAlign w:val="center"/>
          </w:tcPr>
          <w:p>
            <w:pPr>
              <w:spacing w:after="0"/>
            </w:pPr>
            <w:r>
              <w:rPr>
                <w:b/>
                <w:sz w:val="16"/>
              </w:rPr>
              <w:t>Study Section</w:t>
            </w:r>
          </w:p>
        </w:tc>
        <w:tc>
          <w:tcPr>
            <w:tcW w:type="dxa" w:w="3168"/>
            <w:shd w:fill="E8F0F8"/>
            <w:vAlign w:val="center"/>
          </w:tcPr>
          <w:p>
            <w:pPr>
              <w:spacing w:after="0"/>
            </w:pPr>
            <w:r>
              <w:rPr>
                <w:b/>
                <w:sz w:val="16"/>
              </w:rPr>
              <w:t>Full Name</w:t>
            </w:r>
          </w:p>
        </w:tc>
        <w:tc>
          <w:tcPr>
            <w:tcW w:type="dxa" w:w="1584"/>
            <w:shd w:fill="E8F0F8"/>
            <w:vAlign w:val="center"/>
          </w:tcPr>
          <w:p>
            <w:pPr>
              <w:spacing w:after="0"/>
            </w:pPr>
            <w:r>
              <w:rPr>
                <w:b/>
                <w:sz w:val="16"/>
              </w:rPr>
              <w:t>Projects Found</w:t>
            </w:r>
          </w:p>
        </w:tc>
        <w:tc>
          <w:tcPr>
            <w:tcW w:type="dxa" w:w="4752"/>
            <w:shd w:fill="E8F0F8"/>
            <w:vAlign w:val="center"/>
          </w:tcPr>
          <w:p>
            <w:pPr>
              <w:spacing w:after="0"/>
            </w:pPr>
            <w:r>
              <w:rPr>
                <w:b/>
                <w:sz w:val="16"/>
              </w:rPr>
              <w:t>Fit Notes</w:t>
            </w:r>
          </w:p>
        </w:tc>
      </w:tr>
      <w:tr>
        <w:trPr>
          <w:cantSplit/>
        </w:trPr>
        <w:tc>
          <w:tcPr>
            <w:tcW w:type="dxa" w:w="1440"/>
            <w:vAlign w:val="center"/>
            <w:tcMar>
              <w:top w:w="75" w:type="dxa"/>
              <w:start w:w="85" w:type="dxa"/>
              <w:bottom w:w="75" w:type="dxa"/>
              <w:end w:w="85" w:type="dxa"/>
            </w:tcMar>
          </w:tcPr>
          <w:p>
            <w:pPr>
              <w:spacing w:after="0" w:line="240" w:lineRule="auto"/>
            </w:pPr>
            <w:r>
              <w:rPr>
                <w:rFonts w:ascii="Arial" w:hAnsi="Arial"/>
                <w:sz w:val="16"/>
              </w:rPr>
              <w:t>Not returned</w:t>
            </w:r>
          </w:p>
        </w:tc>
        <w:tc>
          <w:tcPr>
            <w:tcW w:type="dxa" w:w="3168"/>
            <w:vAlign w:val="center"/>
            <w:tcMar>
              <w:top w:w="75" w:type="dxa"/>
              <w:start w:w="85" w:type="dxa"/>
              <w:bottom w:w="75" w:type="dxa"/>
              <w:end w:w="85" w:type="dxa"/>
            </w:tcMar>
          </w:tcPr>
          <w:p>
            <w:pPr>
              <w:spacing w:after="0" w:line="240" w:lineRule="auto"/>
            </w:pPr>
            <w:r>
              <w:rPr>
                <w:rFonts w:ascii="Arial" w:hAnsi="Arial"/>
                <w:sz w:val="16"/>
              </w:rPr>
              <w:t>Insufficient data in the RePORTER records returned by the API</w:t>
            </w:r>
          </w:p>
        </w:tc>
        <w:tc>
          <w:tcPr>
            <w:tcW w:type="dxa" w:w="1584"/>
            <w:vAlign w:val="center"/>
            <w:tcMar>
              <w:top w:w="75" w:type="dxa"/>
              <w:start w:w="85" w:type="dxa"/>
              <w:bottom w:w="75" w:type="dxa"/>
              <w:end w:w="85" w:type="dxa"/>
            </w:tcMar>
          </w:tcPr>
          <w:p>
            <w:pPr>
              <w:spacing w:after="0" w:line="240" w:lineRule="auto"/>
            </w:pPr>
            <w:r>
              <w:rPr>
                <w:rFonts w:ascii="Arial" w:hAnsi="Arial"/>
                <w:sz w:val="16"/>
              </w:rPr>
              <w:t>0 empirically rankable records</w:t>
            </w:r>
          </w:p>
        </w:tc>
        <w:tc>
          <w:tcPr>
            <w:tcW w:type="dxa" w:w="4752"/>
            <w:vAlign w:val="center"/>
            <w:tcMar>
              <w:top w:w="75" w:type="dxa"/>
              <w:start w:w="85" w:type="dxa"/>
              <w:bottom w:w="75" w:type="dxa"/>
              <w:end w:w="85" w:type="dxa"/>
            </w:tcMar>
          </w:tcPr>
          <w:p>
            <w:pPr>
              <w:spacing w:after="0" w:line="240" w:lineRule="auto"/>
            </w:pPr>
            <w:r>
              <w:rPr>
                <w:rFonts w:ascii="Arial" w:hAnsi="Arial"/>
                <w:sz w:val="16"/>
              </w:rPr>
              <w:t>No panel recommendation can be verified from this portfolio. Confirm with the NIA or NINR program officer and the Center for Scientific Review directory before requesting assignment.</w:t>
            </w:r>
          </w:p>
        </w:tc>
      </w:tr>
    </w:tbl>
    <w:p>
      <w:pPr>
        <w:spacing w:after="0"/>
      </w:pPr>
    </w:p>
    <w:p>
      <w:pPr>
        <w:spacing w:after="80" w:line="252" w:lineRule="auto"/>
      </w:pPr>
      <w:r>
        <w:t>The relevant API records did not include study section values, so an empirical ranking would be misleading. The scientific content spans aging, geriatric syndromes, nursing science, digital health, clinical prediction, and implementation science. The best panel will depend on whether the application foregrounds a career development plan, a pragmatic nursing intervention, or a wearable prediction method.</w:t>
      </w:r>
    </w:p>
    <w:p>
      <w:pPr>
        <w:spacing w:after="80" w:line="252" w:lineRule="auto"/>
      </w:pPr>
      <w:r>
        <w:t xml:space="preserve">Ask the program officer to identify panels that routinely review hospital based aging interventions and nursing implementation research. Then verify the panel scope and roster in the </w:t>
      </w:r>
      <w:hyperlink r:id="rId25">
        <w:r>
          <w:rPr>
            <w:color w:val="0563C1"/>
            <w:u w:val="single"/>
          </w:rPr>
          <w:t>CSR study section directory</w:t>
        </w:r>
      </w:hyperlink>
      <w:r>
        <w:t>. Do not request a panel solely because it reviewed one superficially similar project; the final specific aims and methods should drive the choice.</w:t>
      </w:r>
    </w:p>
    <w:p>
      <w:pPr>
        <w:pStyle w:val="Heading1"/>
        <w:keepNext/>
      </w:pPr>
      <w:r>
        <w:t>7. Strategic Recommendations and Next Steps</w:t>
      </w:r>
    </w:p>
    <w:p>
      <w:pPr>
        <w:pStyle w:val="CompactNumber"/>
      </w:pPr>
      <w:r>
        <w:t>Choose the lead pathway after a program officer call. Prioritize K23 if protected time and mentored development are central; prioritize R21 if the investigator is ready to lead a bounded project without a large career development component.</w:t>
      </w:r>
    </w:p>
    <w:p>
      <w:pPr>
        <w:pStyle w:val="CompactNumber"/>
      </w:pPr>
      <w:r>
        <w:t>Define the pilot as a feasibility and implementation study. Primary outcomes should include enrollment, wear time, missingness, alert frequency, false alert burden, nurse response time, fidelity, acceptability, safety, and retention. Treat delirium incidence, falls, length of stay, and discharge destination as preliminary signals unless adequately powered.</w:t>
      </w:r>
    </w:p>
    <w:p>
      <w:pPr>
        <w:pStyle w:val="CompactNumber"/>
      </w:pPr>
      <w:r>
        <w:t>Build a mentoring and partnership structure that compensates for the smaller university environment. Include expertise in gerontological nursing, delirium assessment, actigraphy or digital biomarkers, biostatistics, implementation science, and clinical operations. Document health system access to units, electronic records, nursing leadership, and information technology support.</w:t>
      </w:r>
    </w:p>
    <w:p>
      <w:pPr>
        <w:pStyle w:val="CompactNumber"/>
      </w:pPr>
      <w:r>
        <w:t>Separate prediction from action. Prespecify how wearable features and nursing assessment create an alert, what a nurse must verify, which intervention components are triggered, how contraindications are handled, and when the pathway stops. This makes the intervention reproducible and helps reviewers assess safety.</w:t>
      </w:r>
    </w:p>
    <w:p>
      <w:pPr>
        <w:pStyle w:val="CompactNumber"/>
      </w:pPr>
      <w:r>
        <w:t>Design for pragmatic deployment. Use one wearable platform, minimize charging and pairing steps, integrate documentation into existing workflow where feasible, collect nurse and family feedback, and report performance across age, cognitive status, sex, race and ethnicity, mobility limitation, and unit type.</w:t>
      </w:r>
    </w:p>
    <w:p>
      <w:pPr>
        <w:pStyle w:val="CompactNumber"/>
      </w:pPr>
      <w:r>
        <w:t>Generate the data needed for the next award. Establish variance and event rate estimates, refine thresholds, demonstrate fidelity, and obtain effect size estimates. Use these data for a later multisite R01 focused on effectiveness and implementation.</w:t>
      </w:r>
    </w:p>
    <w:p>
      <w:pPr>
        <w:pStyle w:val="Heading2"/>
        <w:keepNext/>
      </w:pPr>
      <w:r>
        <w:t>Program officer recommendation</w:t>
      </w:r>
    </w:p>
    <w:p>
      <w:pPr>
        <w:spacing w:after="80" w:line="252" w:lineRule="auto"/>
      </w:pPr>
      <w:r>
        <w:t xml:space="preserve">Contact the program officer at NIA before submitting and ask NINR for a secondary fit discussion. Program officers can confirm mission fit, clinical trial classification, the right parent opportunity, institute specific K23 support, and likely review expertise. Start with the </w:t>
      </w:r>
      <w:hyperlink r:id="rId26">
        <w:r>
          <w:rPr>
            <w:color w:val="0563C1"/>
            <w:u w:val="single"/>
          </w:rPr>
          <w:t>NIH institutes and centers directory</w:t>
        </w:r>
      </w:hyperlink>
      <w:r>
        <w:t xml:space="preserve"> and follow the NIA and NINR links to scientific staff and funding contacts. Send a one page specific aims draft and a concise statement of investigator status, preliminary data, site commitment, and proposed mechanism.</w:t>
      </w:r>
    </w:p>
    <w:p>
      <w:pPr>
        <w:pStyle w:val="Heading2"/>
        <w:keepNext/>
      </w:pPr>
      <w:r>
        <w:t>Submission timeline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40"/>
        <w:gridCol w:w="5040"/>
      </w:tblGrid>
      <w:tr>
        <w:trPr>
          <w:tblHeader w:val="true"/>
        </w:trPr>
        <w:tc>
          <w:tcPr>
            <w:tcW w:type="dxa" w:w="2088"/>
            <w:shd w:fill="E8F0F8"/>
            <w:vAlign w:val="center"/>
          </w:tcPr>
          <w:p>
            <w:pPr>
              <w:spacing w:after="0"/>
            </w:pPr>
            <w:r>
              <w:rPr>
                <w:b/>
                <w:sz w:val="17"/>
              </w:rPr>
              <w:t>Mechanism</w:t>
            </w:r>
          </w:p>
        </w:tc>
        <w:tc>
          <w:tcPr>
            <w:tcW w:type="dxa" w:w="8280"/>
            <w:shd w:fill="E8F0F8"/>
            <w:vAlign w:val="center"/>
          </w:tcPr>
          <w:p>
            <w:pPr>
              <w:spacing w:after="0"/>
            </w:pPr>
            <w:r>
              <w:rPr>
                <w:b/>
                <w:sz w:val="17"/>
              </w:rPr>
              <w:t>Verified Standard Receipt Dates</w:t>
            </w:r>
          </w:p>
        </w:tc>
      </w:tr>
      <w:tr>
        <w:trPr>
          <w:cantSplit/>
        </w:trPr>
        <w:tc>
          <w:tcPr>
            <w:tcW w:type="dxa" w:w="2088"/>
            <w:vAlign w:val="center"/>
            <w:tcMar>
              <w:top w:w="75" w:type="dxa"/>
              <w:start w:w="85" w:type="dxa"/>
              <w:bottom w:w="75" w:type="dxa"/>
              <w:end w:w="85" w:type="dxa"/>
            </w:tcMar>
          </w:tcPr>
          <w:p>
            <w:pPr>
              <w:spacing w:after="0" w:line="240" w:lineRule="auto"/>
            </w:pPr>
            <w:r>
              <w:rPr>
                <w:rFonts w:ascii="Arial" w:hAnsi="Arial"/>
                <w:sz w:val="17"/>
              </w:rPr>
              <w:t>K23 PA-24-184</w:t>
            </w:r>
          </w:p>
        </w:tc>
        <w:tc>
          <w:tcPr>
            <w:tcW w:type="dxa" w:w="8280"/>
            <w:vAlign w:val="center"/>
            <w:tcMar>
              <w:top w:w="75" w:type="dxa"/>
              <w:start w:w="85" w:type="dxa"/>
              <w:bottom w:w="75" w:type="dxa"/>
              <w:end w:w="85" w:type="dxa"/>
            </w:tcMar>
          </w:tcPr>
          <w:p>
            <w:pPr>
              <w:spacing w:after="0" w:line="240" w:lineRule="auto"/>
            </w:pPr>
            <w:r>
              <w:rPr>
                <w:rFonts w:ascii="Arial" w:hAnsi="Arial"/>
                <w:sz w:val="17"/>
              </w:rPr>
              <w:t>New applications: February 12, June 12, October 12. Resubmissions: March 12, July 12, November 12. The active announcement lists October 12, 2026 and February 12, 2027 among remaining dates.</w:t>
            </w:r>
          </w:p>
        </w:tc>
      </w:tr>
      <w:tr>
        <w:trPr>
          <w:cantSplit/>
        </w:trPr>
        <w:tc>
          <w:tcPr>
            <w:tcW w:type="dxa" w:w="2088"/>
            <w:vAlign w:val="center"/>
            <w:tcMar>
              <w:top w:w="75" w:type="dxa"/>
              <w:start w:w="85" w:type="dxa"/>
              <w:bottom w:w="75" w:type="dxa"/>
              <w:end w:w="85" w:type="dxa"/>
            </w:tcMar>
            <w:shd w:fill="F5F8FC"/>
          </w:tcPr>
          <w:p>
            <w:pPr>
              <w:spacing w:after="0" w:line="240" w:lineRule="auto"/>
            </w:pPr>
            <w:r>
              <w:rPr>
                <w:rFonts w:ascii="Arial" w:hAnsi="Arial"/>
                <w:sz w:val="17"/>
              </w:rPr>
              <w:t>R21 PA-25-306 or PA-25-304</w:t>
            </w:r>
          </w:p>
        </w:tc>
        <w:tc>
          <w:tcPr>
            <w:tcW w:type="dxa" w:w="8280"/>
            <w:vAlign w:val="center"/>
            <w:tcMar>
              <w:top w:w="75" w:type="dxa"/>
              <w:start w:w="85" w:type="dxa"/>
              <w:bottom w:w="75" w:type="dxa"/>
              <w:end w:w="85" w:type="dxa"/>
            </w:tcMar>
            <w:shd w:fill="F5F8FC"/>
          </w:tcPr>
          <w:p>
            <w:pPr>
              <w:spacing w:after="0" w:line="240" w:lineRule="auto"/>
            </w:pPr>
            <w:r>
              <w:rPr>
                <w:rFonts w:ascii="Arial" w:hAnsi="Arial"/>
                <w:sz w:val="17"/>
              </w:rPr>
              <w:t>Standard new application dates: February 16, June 16, October 16. Confirm the exact cycle and holiday adjustments in the selected announcement before routing.</w:t>
            </w:r>
          </w:p>
        </w:tc>
      </w:tr>
      <w:tr>
        <w:trPr>
          <w:cantSplit/>
        </w:trPr>
        <w:tc>
          <w:tcPr>
            <w:tcW w:type="dxa" w:w="2088"/>
            <w:vAlign w:val="center"/>
            <w:tcMar>
              <w:top w:w="75" w:type="dxa"/>
              <w:start w:w="85" w:type="dxa"/>
              <w:bottom w:w="75" w:type="dxa"/>
              <w:end w:w="85" w:type="dxa"/>
            </w:tcMar>
          </w:tcPr>
          <w:p>
            <w:pPr>
              <w:spacing w:after="0" w:line="240" w:lineRule="auto"/>
            </w:pPr>
            <w:r>
              <w:rPr>
                <w:rFonts w:ascii="Arial" w:hAnsi="Arial"/>
                <w:sz w:val="17"/>
              </w:rPr>
              <w:t>R03 PA-25-302</w:t>
            </w:r>
          </w:p>
        </w:tc>
        <w:tc>
          <w:tcPr>
            <w:tcW w:type="dxa" w:w="8280"/>
            <w:vAlign w:val="center"/>
            <w:tcMar>
              <w:top w:w="75" w:type="dxa"/>
              <w:start w:w="85" w:type="dxa"/>
              <w:bottom w:w="75" w:type="dxa"/>
              <w:end w:w="85" w:type="dxa"/>
            </w:tcMar>
          </w:tcPr>
          <w:p>
            <w:pPr>
              <w:spacing w:after="0" w:line="240" w:lineRule="auto"/>
            </w:pPr>
            <w:r>
              <w:rPr>
                <w:rFonts w:ascii="Arial" w:hAnsi="Arial"/>
                <w:sz w:val="17"/>
              </w:rPr>
              <w:t>Standard new application dates: February 16, June 16, October 16. Confirm institute participation and dates in the announcement before routing.</w:t>
            </w:r>
          </w:p>
        </w:tc>
      </w:tr>
    </w:tbl>
    <w:p>
      <w:pPr>
        <w:spacing w:after="0"/>
      </w:pPr>
    </w:p>
    <w:p>
      <w:pPr>
        <w:spacing w:after="80" w:line="252" w:lineRule="auto"/>
      </w:pPr>
      <w:r>
        <w:t>Planning recommendation: February 2027 is the earliest plausible K23 cycle only if the mentoring team, protected effort, health system commitments, human subjects plan, and initial feasibility work are already underway. Otherwise, June or October 2027 is more credible. For an R21, a later 2027 cycle is preferable if even a small amount of local wearability, workflow, or event rate evidence can be generated first. Institutional routing deadlines will precede NIH dates.</w:t>
      </w:r>
    </w:p>
    <w:p>
      <w:pPr>
        <w:spacing w:after="80" w:line="252" w:lineRule="auto"/>
      </w:pPr>
      <w:r>
        <w:t>Closing position: reviewers should see a practical care delivery problem, not technology seeking an application. The proposal is strongest when it explains that nurses already deliver effective prevention components, but they need a validated way to identify who needs intensified action and when. The project tests whether continuous signals can make that response timely, targeted, and feasible without increasing cognitive burden or widening disparities.</w:t>
      </w:r>
    </w:p>
    <w:p>
      <w:pPr>
        <w:pStyle w:val="Heading1"/>
        <w:keepNext/>
      </w:pPr>
      <w:r>
        <w:t>8. References</w:t>
      </w:r>
    </w:p>
    <w:p>
      <w:pPr>
        <w:spacing w:after="40"/>
        <w:ind w:left="259" w:hanging="259"/>
      </w:pPr>
      <w:r>
        <w:t xml:space="preserve">[1] </w:t>
      </w:r>
      <w:hyperlink r:id="rId11">
        <w:r>
          <w:rPr>
            <w:color w:val="0563C1"/>
            <w:u w:val="single"/>
          </w:rPr>
          <w:t>Szewczak A et al. (2025). Clinical Nursing Management of Adult Patients with Delirium in a Hospital Setting A Systematic Review. Journal of Clinical Medicine. Citations 9. DOI 10.3390/jcm14228113.</w:t>
        </w:r>
      </w:hyperlink>
    </w:p>
    <w:p>
      <w:pPr>
        <w:spacing w:after="40"/>
        <w:ind w:left="259" w:hanging="259"/>
      </w:pPr>
      <w:r>
        <w:t xml:space="preserve">[2] </w:t>
      </w:r>
      <w:hyperlink r:id="rId27">
        <w:r>
          <w:rPr>
            <w:color w:val="0563C1"/>
            <w:u w:val="single"/>
          </w:rPr>
          <w:t>Leon Salas B et al. (2020). Multicomponent Interventions for the Prevention of Delirium in Hospitalized Older People A Meta Analysis. Journal of the American Geriatrics Society. Citations 35. DOI 10.1111/jgs.16768.</w:t>
        </w:r>
      </w:hyperlink>
    </w:p>
    <w:p>
      <w:pPr>
        <w:spacing w:after="40"/>
        <w:ind w:left="259" w:hanging="259"/>
      </w:pPr>
      <w:r>
        <w:t xml:space="preserve">[3] </w:t>
      </w:r>
      <w:hyperlink r:id="rId28">
        <w:r>
          <w:rPr>
            <w:color w:val="0563C1"/>
            <w:u w:val="single"/>
          </w:rPr>
          <w:t>Bate G et al. (2023). The Role of Wearable Sensors to Monitor Physical Activity and Sleep Patterns in Older Adult Inpatients A Structured Review. Sensors. Citations 24. DOI 10.3390/s23104881.</w:t>
        </w:r>
      </w:hyperlink>
    </w:p>
    <w:p>
      <w:pPr>
        <w:spacing w:after="40"/>
        <w:ind w:left="259" w:hanging="259"/>
      </w:pPr>
      <w:r>
        <w:t xml:space="preserve">[4] </w:t>
      </w:r>
      <w:hyperlink r:id="rId29">
        <w:r>
          <w:rPr>
            <w:color w:val="0563C1"/>
            <w:u w:val="single"/>
          </w:rPr>
          <w:t>Perez Ros P et al. (2025). Mortality Risk Following Delirium in Older Inpatients A Systematic Review and Meta Analysis. Worldviews on Evidence Based Nursing. Citations 17. DOI 10.1111/wvn.70027.</w:t>
        </w:r>
      </w:hyperlink>
    </w:p>
    <w:p>
      <w:pPr>
        <w:spacing w:after="40"/>
        <w:ind w:left="259" w:hanging="259"/>
      </w:pPr>
      <w:r>
        <w:t xml:space="preserve">[5] </w:t>
      </w:r>
      <w:hyperlink r:id="rId30">
        <w:r>
          <w:rPr>
            <w:color w:val="0563C1"/>
            <w:u w:val="single"/>
          </w:rPr>
          <w:t>Tesfaye Y et al. (2025). Long term clinical outcomes of delirium after hospital discharge A systematic review and meta analysis. Age and Ageing. Citations 37. DOI 10.1093/ageing/afaf188.</w:t>
        </w:r>
      </w:hyperlink>
    </w:p>
    <w:p>
      <w:pPr>
        <w:spacing w:after="40"/>
        <w:ind w:left="259" w:hanging="259"/>
      </w:pPr>
      <w:r>
        <w:t xml:space="preserve">[6] </w:t>
      </w:r>
      <w:hyperlink r:id="rId31">
        <w:r>
          <w:rPr>
            <w:color w:val="0563C1"/>
            <w:u w:val="single"/>
          </w:rPr>
          <w:t>Zhang M et al. (2022). Incidence predictors and health outcomes of delirium in very old hospitalized patients. BMC Geriatrics. Citations 32. DOI 10.1186/s12877-022-02932-9.</w:t>
        </w:r>
      </w:hyperlink>
    </w:p>
    <w:p>
      <w:pPr>
        <w:spacing w:after="40"/>
        <w:ind w:left="259" w:hanging="259"/>
      </w:pPr>
      <w:r>
        <w:t xml:space="preserve">[7] </w:t>
      </w:r>
      <w:hyperlink r:id="rId32">
        <w:r>
          <w:rPr>
            <w:color w:val="0563C1"/>
            <w:u w:val="single"/>
          </w:rPr>
          <w:t>Ludolph P et al. (2020). Non Pharmacologic Multicomponent Interventions Preventing Delirium in Hospitalized People. Journal of the American Geriatrics Society. Citations 70. DOI 10.1111/jgs.16565.</w:t>
        </w:r>
      </w:hyperlink>
    </w:p>
    <w:p>
      <w:pPr>
        <w:spacing w:after="40"/>
        <w:ind w:left="259" w:hanging="259"/>
      </w:pPr>
      <w:r>
        <w:t xml:space="preserve">[8] </w:t>
      </w:r>
      <w:hyperlink r:id="rId33">
        <w:r>
          <w:rPr>
            <w:color w:val="0563C1"/>
            <w:u w:val="single"/>
          </w:rPr>
          <w:t>Bianchi LA et al. (2023). Barriers to healthcare professionals recognizing and managing delirium in older adults during a hospital stay. Journal of Advanced Nursing. Citations 38. DOI 10.1111/jan.16018.</w:t>
        </w:r>
      </w:hyperlink>
    </w:p>
    <w:p>
      <w:pPr>
        <w:spacing w:after="40"/>
        <w:ind w:left="259" w:hanging="259"/>
      </w:pPr>
      <w:r>
        <w:t xml:space="preserve">[9] </w:t>
      </w:r>
      <w:hyperlink r:id="rId34">
        <w:r>
          <w:rPr>
            <w:color w:val="0563C1"/>
            <w:u w:val="single"/>
          </w:rPr>
          <w:t>Lee Y et al. (2021). Non Pharmacological Nursing Interventions for Prevention and Treatment of Delirium in Hospitalized Adult Patients. International Journal of Environmental Research and Public Health. Citations 42. DOI 10.3390/ijerph18168853.</w:t>
        </w:r>
      </w:hyperlink>
    </w:p>
    <w:p>
      <w:pPr>
        <w:spacing w:after="40"/>
        <w:ind w:left="259" w:hanging="259"/>
      </w:pPr>
      <w:r>
        <w:t xml:space="preserve">[10] </w:t>
      </w:r>
      <w:hyperlink r:id="rId12">
        <w:r>
          <w:rPr>
            <w:color w:val="0563C1"/>
            <w:u w:val="single"/>
          </w:rPr>
          <w:t>Hong J et al. (2025). Predicting and Early Detection of Delirium through Motion Patterns A Narrative Review. Clinical Psychopharmacology and Neuroscience. Citations 1. DOI 10.9758/cpn.25.1326.</w:t>
        </w:r>
      </w:hyperlink>
    </w:p>
    <w:p>
      <w:pPr>
        <w:spacing w:after="40"/>
        <w:ind w:left="259" w:hanging="259"/>
      </w:pPr>
      <w:r>
        <w:t xml:space="preserve">[11] </w:t>
      </w:r>
      <w:hyperlink r:id="rId35">
        <w:r>
          <w:rPr>
            <w:color w:val="0563C1"/>
            <w:u w:val="single"/>
          </w:rPr>
          <w:t>Davoudi A et al. (2019). Role of Wearable Accelerometer Devices in Delirium Studies A Systematic Review. Critical Care Explorations. Citations 22. DOI 10.1097/cce.0000000000000027.</w:t>
        </w:r>
      </w:hyperlink>
    </w:p>
    <w:p>
      <w:pPr>
        <w:spacing w:after="40"/>
        <w:ind w:left="259" w:hanging="259"/>
      </w:pPr>
      <w:r>
        <w:t xml:space="preserve">[12] </w:t>
      </w:r>
      <w:hyperlink r:id="rId36">
        <w:r>
          <w:rPr>
            <w:color w:val="0563C1"/>
            <w:u w:val="single"/>
          </w:rPr>
          <w:t>Jaiswal S et al. (2020). Objectively measured sleep fragmentation is associated with incident delirium in older hospitalized patients. Journal of Sleep Research. Citations 15. DOI 10.1111/jsr.13205.</w:t>
        </w:r>
      </w:hyperlink>
    </w:p>
    <w:p>
      <w:pPr>
        <w:spacing w:after="40"/>
        <w:ind w:left="259" w:hanging="259"/>
      </w:pPr>
      <w:r>
        <w:t xml:space="preserve">[13] </w:t>
      </w:r>
      <w:hyperlink r:id="rId13">
        <w:r>
          <w:rPr>
            <w:color w:val="0563C1"/>
            <w:u w:val="single"/>
          </w:rPr>
          <w:t>Patel V et al. (2021). Evaluating the Validity and Utility of Wearable Technology for Continuously Monitoring Patients in a Hospital Setting. JMIR mHealth and uHealth. Citations 57. DOI 10.2196/17411.</w:t>
        </w:r>
      </w:hyperlink>
    </w:p>
    <w:p>
      <w:pPr>
        <w:spacing w:after="40"/>
        <w:ind w:left="259" w:hanging="259"/>
      </w:pPr>
      <w:r>
        <w:t xml:space="preserve">[14] </w:t>
      </w:r>
      <w:hyperlink r:id="rId14">
        <w:r>
          <w:rPr>
            <w:color w:val="0563C1"/>
            <w:u w:val="single"/>
          </w:rPr>
          <w:t>Angelucci A et al. (2025). Wearable devices for patient monitoring in the intensive care unit. Intensive Care Medicine Experimental. Citations 36. DOI 10.1186/s40635-025-00738-8.</w:t>
        </w:r>
      </w:hyperlink>
    </w:p>
    <w:p>
      <w:pPr>
        <w:spacing w:after="40"/>
        <w:ind w:left="259" w:hanging="259"/>
      </w:pPr>
      <w:r>
        <w:t xml:space="preserve">[15] </w:t>
      </w:r>
      <w:hyperlink r:id="rId15">
        <w:r>
          <w:rPr>
            <w:color w:val="0563C1"/>
            <w:u w:val="single"/>
          </w:rPr>
          <w:t>Gokhale S et al. (2025). Health care staff perspectives in optimising delirium prevention using data driven interventions. Australasian Journal on Ageing. Citations 3. DOI 10.1111/ajag.70011.</w:t>
        </w:r>
      </w:hyperlink>
    </w:p>
    <w:p>
      <w:pPr>
        <w:spacing w:after="40"/>
        <w:ind w:left="259" w:hanging="259"/>
      </w:pPr>
      <w:r>
        <w:t xml:space="preserve">[16] </w:t>
      </w:r>
      <w:hyperlink r:id="rId37">
        <w:r>
          <w:rPr>
            <w:color w:val="0563C1"/>
            <w:u w:val="single"/>
          </w:rPr>
          <w:t>Al Siyabi A et al. (2025). Exploring the use of digital technologies in the management of delirium in acute hospital settings. Contemporary Nurse. Citations 4. DOI 10.1080/10376178.2025.2572342.</w:t>
        </w:r>
      </w:hyperlink>
    </w:p>
    <w:p>
      <w:pPr>
        <w:spacing w:after="40"/>
        <w:ind w:left="259" w:hanging="259"/>
      </w:pPr>
      <w:r>
        <w:t xml:space="preserve">[17] </w:t>
      </w:r>
      <w:hyperlink r:id="rId38">
        <w:r>
          <w:rPr>
            <w:color w:val="0563C1"/>
            <w:u w:val="single"/>
          </w:rPr>
          <w:t>Ahmed A et al. (2023). Delirium detection using wearable sensors and machine learning in patients with intracerebral hemorrhage. Frontiers in Neurology. Citations 14. DOI 10.3389/fneur.2023.1135472.</w:t>
        </w:r>
      </w:hyperlink>
    </w:p>
    <w:p>
      <w:pPr>
        <w:spacing w:after="40"/>
        <w:ind w:left="259" w:hanging="259"/>
      </w:pPr>
      <w:r>
        <w:t xml:space="preserve">[18] </w:t>
      </w:r>
      <w:hyperlink r:id="rId39">
        <w:r>
          <w:rPr>
            <w:color w:val="0563C1"/>
            <w:u w:val="single"/>
          </w:rPr>
          <w:t>Kooij L et al. (2022). Remote continuous monitoring with wireless wearable sensors in clinical practice nurses perspectives on factors affecting implementation. BMC Nursing. Citations 24. DOI 10.1186/s12912-022-00832-2.</w:t>
        </w:r>
      </w:hyperlink>
    </w:p>
    <w:p>
      <w:pPr>
        <w:pStyle w:val="Heading1"/>
        <w:keepNext/>
      </w:pPr>
      <w:r>
        <w:t>9. Data Sources and Methodology Audit Log</w:t>
      </w:r>
    </w:p>
    <w:p>
      <w:pPr>
        <w:pStyle w:val="Heading2"/>
        <w:keepNext/>
      </w:pPr>
      <w:r>
        <w:t>Consensus searches Phase 2A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1440"/>
        <w:gridCol w:w="1440"/>
        <w:gridCol w:w="1440"/>
        <w:gridCol w:w="1440"/>
        <w:gridCol w:w="1440"/>
        <w:gridCol w:w="1440"/>
      </w:tblGrid>
      <w:tr>
        <w:trPr>
          <w:tblHeader w:val="true"/>
        </w:trPr>
        <w:tc>
          <w:tcPr>
            <w:tcW w:type="dxa" w:w="605"/>
            <w:shd w:fill="E8F0F8"/>
            <w:vAlign w:val="center"/>
          </w:tcPr>
          <w:p>
            <w:pPr>
              <w:spacing w:after="0"/>
            </w:pPr>
            <w:r>
              <w:rPr>
                <w:b/>
                <w:sz w:val="14"/>
              </w:rPr>
              <w:t>Search #</w:t>
            </w:r>
          </w:p>
        </w:tc>
        <w:tc>
          <w:tcPr>
            <w:tcW w:type="dxa" w:w="1008"/>
            <w:shd w:fill="E8F0F8"/>
            <w:vAlign w:val="center"/>
          </w:tcPr>
          <w:p>
            <w:pPr>
              <w:spacing w:after="0"/>
            </w:pPr>
            <w:r>
              <w:rPr>
                <w:b/>
                <w:sz w:val="14"/>
              </w:rPr>
              <w:t>Facet</w:t>
            </w:r>
          </w:p>
        </w:tc>
        <w:tc>
          <w:tcPr>
            <w:tcW w:type="dxa" w:w="3384"/>
            <w:shd w:fill="E8F0F8"/>
            <w:vAlign w:val="center"/>
          </w:tcPr>
          <w:p>
            <w:pPr>
              <w:spacing w:after="0"/>
            </w:pPr>
            <w:r>
              <w:rPr>
                <w:b/>
                <w:sz w:val="14"/>
              </w:rPr>
              <w:t>Query Used</w:t>
            </w:r>
          </w:p>
        </w:tc>
        <w:tc>
          <w:tcPr>
            <w:tcW w:type="dxa" w:w="936"/>
            <w:shd w:fill="E8F0F8"/>
            <w:vAlign w:val="center"/>
          </w:tcPr>
          <w:p>
            <w:pPr>
              <w:spacing w:after="0"/>
            </w:pPr>
            <w:r>
              <w:rPr>
                <w:b/>
                <w:sz w:val="14"/>
              </w:rPr>
              <w:t>Papers Found</w:t>
            </w:r>
          </w:p>
        </w:tc>
        <w:tc>
          <w:tcPr>
            <w:tcW w:type="dxa" w:w="936"/>
            <w:shd w:fill="E8F0F8"/>
            <w:vAlign w:val="center"/>
          </w:tcPr>
          <w:p>
            <w:pPr>
              <w:spacing w:after="0"/>
            </w:pPr>
            <w:r>
              <w:rPr>
                <w:b/>
                <w:sz w:val="14"/>
              </w:rPr>
              <w:t>Papers Shown</w:t>
            </w:r>
          </w:p>
        </w:tc>
        <w:tc>
          <w:tcPr>
            <w:tcW w:type="dxa" w:w="936"/>
            <w:shd w:fill="E8F0F8"/>
            <w:vAlign w:val="center"/>
          </w:tcPr>
          <w:p>
            <w:pPr>
              <w:spacing w:after="0"/>
            </w:pPr>
            <w:r>
              <w:rPr>
                <w:b/>
                <w:sz w:val="14"/>
              </w:rPr>
              <w:t>Papers Cited</w:t>
            </w:r>
          </w:p>
        </w:tc>
        <w:tc>
          <w:tcPr>
            <w:tcW w:type="dxa" w:w="979"/>
            <w:shd w:fill="E8F0F8"/>
            <w:vAlign w:val="center"/>
          </w:tcPr>
          <w:p>
            <w:pPr>
              <w:spacing w:after="0"/>
            </w:pPr>
            <w:r>
              <w:rPr>
                <w:b/>
                <w:sz w:val="14"/>
              </w:rPr>
              <w:t>Status</w:t>
            </w:r>
          </w:p>
        </w:tc>
      </w:tr>
      <w:tr>
        <w:trPr>
          <w:cantSplit/>
        </w:trPr>
        <w:tc>
          <w:tcPr>
            <w:tcW w:type="dxa" w:w="605"/>
            <w:vAlign w:val="center"/>
            <w:tcMar>
              <w:top w:w="75" w:type="dxa"/>
              <w:start w:w="85" w:type="dxa"/>
              <w:bottom w:w="75" w:type="dxa"/>
              <w:end w:w="85" w:type="dxa"/>
            </w:tcMar>
          </w:tcPr>
          <w:p>
            <w:pPr>
              <w:spacing w:after="0" w:line="240" w:lineRule="auto"/>
            </w:pPr>
            <w:r>
              <w:rPr>
                <w:rFonts w:ascii="Arial" w:hAnsi="Arial"/>
                <w:sz w:val="14"/>
              </w:rPr>
              <w:t>1</w:t>
            </w:r>
          </w:p>
        </w:tc>
        <w:tc>
          <w:tcPr>
            <w:tcW w:type="dxa" w:w="1008"/>
            <w:vAlign w:val="center"/>
            <w:tcMar>
              <w:top w:w="75" w:type="dxa"/>
              <w:start w:w="85" w:type="dxa"/>
              <w:bottom w:w="75" w:type="dxa"/>
              <w:end w:w="85" w:type="dxa"/>
            </w:tcMar>
          </w:tcPr>
          <w:p>
            <w:pPr>
              <w:spacing w:after="0" w:line="240" w:lineRule="auto"/>
            </w:pPr>
            <w:r>
              <w:rPr>
                <w:rFonts w:ascii="Arial" w:hAnsi="Arial"/>
                <w:sz w:val="14"/>
              </w:rPr>
              <w:t>Foundation</w:t>
            </w:r>
          </w:p>
        </w:tc>
        <w:tc>
          <w:tcPr>
            <w:tcW w:type="dxa" w:w="3384"/>
            <w:vAlign w:val="center"/>
            <w:tcMar>
              <w:top w:w="75" w:type="dxa"/>
              <w:start w:w="85" w:type="dxa"/>
              <w:bottom w:w="75" w:type="dxa"/>
              <w:end w:w="85" w:type="dxa"/>
            </w:tcMar>
          </w:tcPr>
          <w:p>
            <w:pPr>
              <w:spacing w:after="0" w:line="240" w:lineRule="auto"/>
            </w:pPr>
            <w:r>
              <w:rPr>
                <w:rFonts w:ascii="Arial" w:hAnsi="Arial"/>
                <w:sz w:val="14"/>
              </w:rPr>
              <w:t>hospitalized older adults delirium prevention nurse led multicomponent intervention wearable sleep activity monitoring; year 2019 to 2026; human</w:t>
            </w:r>
          </w:p>
        </w:tc>
        <w:tc>
          <w:tcPr>
            <w:tcW w:type="dxa" w:w="936"/>
            <w:vAlign w:val="center"/>
            <w:tcMar>
              <w:top w:w="75" w:type="dxa"/>
              <w:start w:w="85" w:type="dxa"/>
              <w:bottom w:w="75" w:type="dxa"/>
              <w:end w:w="85" w:type="dxa"/>
            </w:tcMar>
          </w:tcPr>
          <w:p>
            <w:pPr>
              <w:spacing w:after="0" w:line="240" w:lineRule="auto"/>
            </w:pPr>
            <w:r>
              <w:rPr>
                <w:rFonts w:ascii="Arial" w:hAnsi="Arial"/>
                <w:sz w:val="14"/>
              </w:rPr>
              <w:t>20</w:t>
            </w:r>
          </w:p>
        </w:tc>
        <w:tc>
          <w:tcPr>
            <w:tcW w:type="dxa" w:w="936"/>
            <w:vAlign w:val="center"/>
            <w:tcMar>
              <w:top w:w="75" w:type="dxa"/>
              <w:start w:w="85" w:type="dxa"/>
              <w:bottom w:w="75" w:type="dxa"/>
              <w:end w:w="85" w:type="dxa"/>
            </w:tcMar>
          </w:tcPr>
          <w:p>
            <w:pPr>
              <w:spacing w:after="0" w:line="240" w:lineRule="auto"/>
            </w:pPr>
            <w:r>
              <w:rPr>
                <w:rFonts w:ascii="Arial" w:hAnsi="Arial"/>
                <w:sz w:val="14"/>
              </w:rPr>
              <w:t>20</w:t>
            </w:r>
          </w:p>
        </w:tc>
        <w:tc>
          <w:tcPr>
            <w:tcW w:type="dxa" w:w="936"/>
            <w:vAlign w:val="center"/>
            <w:tcMar>
              <w:top w:w="75" w:type="dxa"/>
              <w:start w:w="85" w:type="dxa"/>
              <w:bottom w:w="75" w:type="dxa"/>
              <w:end w:w="85" w:type="dxa"/>
            </w:tcMar>
          </w:tcPr>
          <w:p>
            <w:pPr>
              <w:spacing w:after="0" w:line="240" w:lineRule="auto"/>
            </w:pPr>
            <w:r>
              <w:rPr>
                <w:rFonts w:ascii="Arial" w:hAnsi="Arial"/>
                <w:sz w:val="14"/>
              </w:rPr>
              <w:t>5</w:t>
            </w:r>
          </w:p>
        </w:tc>
        <w:tc>
          <w:tcPr>
            <w:tcW w:type="dxa" w:w="979"/>
            <w:vAlign w:val="center"/>
            <w:tcMar>
              <w:top w:w="75" w:type="dxa"/>
              <w:start w:w="85" w:type="dxa"/>
              <w:bottom w:w="75" w:type="dxa"/>
              <w:end w:w="85" w:type="dxa"/>
            </w:tcMar>
          </w:tcPr>
          <w:p>
            <w:pPr>
              <w:spacing w:after="0" w:line="240" w:lineRule="auto"/>
            </w:pPr>
            <w:r>
              <w:rPr>
                <w:rFonts w:ascii="Arial" w:hAnsi="Arial"/>
                <w:sz w:val="14"/>
              </w:rPr>
              <w:t>Complete</w:t>
            </w:r>
          </w:p>
        </w:tc>
      </w:tr>
      <w:tr>
        <w:trPr>
          <w:cantSplit/>
        </w:trPr>
        <w:tc>
          <w:tcPr>
            <w:tcW w:type="dxa" w:w="605"/>
            <w:vAlign w:val="center"/>
            <w:tcMar>
              <w:top w:w="75" w:type="dxa"/>
              <w:start w:w="85" w:type="dxa"/>
              <w:bottom w:w="75" w:type="dxa"/>
              <w:end w:w="85" w:type="dxa"/>
            </w:tcMar>
            <w:shd w:fill="F5F8FC"/>
          </w:tcPr>
          <w:p>
            <w:pPr>
              <w:spacing w:after="0" w:line="240" w:lineRule="auto"/>
            </w:pPr>
            <w:r>
              <w:rPr>
                <w:rFonts w:ascii="Arial" w:hAnsi="Arial"/>
                <w:sz w:val="14"/>
              </w:rPr>
              <w:t>2</w:t>
            </w:r>
          </w:p>
        </w:tc>
        <w:tc>
          <w:tcPr>
            <w:tcW w:type="dxa" w:w="1008"/>
            <w:vAlign w:val="center"/>
            <w:tcMar>
              <w:top w:w="75" w:type="dxa"/>
              <w:start w:w="85" w:type="dxa"/>
              <w:bottom w:w="75" w:type="dxa"/>
              <w:end w:w="85" w:type="dxa"/>
            </w:tcMar>
            <w:shd w:fill="F5F8FC"/>
          </w:tcPr>
          <w:p>
            <w:pPr>
              <w:spacing w:after="0" w:line="240" w:lineRule="auto"/>
            </w:pPr>
            <w:r>
              <w:rPr>
                <w:rFonts w:ascii="Arial" w:hAnsi="Arial"/>
                <w:sz w:val="14"/>
              </w:rPr>
              <w:t>Stakes</w:t>
            </w:r>
          </w:p>
        </w:tc>
        <w:tc>
          <w:tcPr>
            <w:tcW w:type="dxa" w:w="3384"/>
            <w:vAlign w:val="center"/>
            <w:tcMar>
              <w:top w:w="75" w:type="dxa"/>
              <w:start w:w="85" w:type="dxa"/>
              <w:bottom w:w="75" w:type="dxa"/>
              <w:end w:w="85" w:type="dxa"/>
            </w:tcMar>
            <w:shd w:fill="F5F8FC"/>
          </w:tcPr>
          <w:p>
            <w:pPr>
              <w:spacing w:after="0" w:line="240" w:lineRule="auto"/>
            </w:pPr>
            <w:r>
              <w:rPr>
                <w:rFonts w:ascii="Arial" w:hAnsi="Arial"/>
                <w:sz w:val="14"/>
              </w:rPr>
              <w:t>delirium prevalence burden mortality falls length of stay discharge institutionalization hospitalized older adults; year 2019 to 2026; human</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4"/>
              </w:rPr>
              <w:t>20</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4"/>
              </w:rPr>
              <w:t>20</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4"/>
              </w:rPr>
              <w:t>3</w:t>
            </w:r>
          </w:p>
        </w:tc>
        <w:tc>
          <w:tcPr>
            <w:tcW w:type="dxa" w:w="979"/>
            <w:vAlign w:val="center"/>
            <w:tcMar>
              <w:top w:w="75" w:type="dxa"/>
              <w:start w:w="85" w:type="dxa"/>
              <w:bottom w:w="75" w:type="dxa"/>
              <w:end w:w="85" w:type="dxa"/>
            </w:tcMar>
            <w:shd w:fill="F5F8FC"/>
          </w:tcPr>
          <w:p>
            <w:pPr>
              <w:spacing w:after="0" w:line="240" w:lineRule="auto"/>
            </w:pPr>
            <w:r>
              <w:rPr>
                <w:rFonts w:ascii="Arial" w:hAnsi="Arial"/>
                <w:sz w:val="14"/>
              </w:rPr>
              <w:t>Complete</w:t>
            </w:r>
          </w:p>
        </w:tc>
      </w:tr>
      <w:tr>
        <w:trPr>
          <w:cantSplit/>
        </w:trPr>
        <w:tc>
          <w:tcPr>
            <w:tcW w:type="dxa" w:w="605"/>
            <w:vAlign w:val="center"/>
            <w:tcMar>
              <w:top w:w="75" w:type="dxa"/>
              <w:start w:w="85" w:type="dxa"/>
              <w:bottom w:w="75" w:type="dxa"/>
              <w:end w:w="85" w:type="dxa"/>
            </w:tcMar>
          </w:tcPr>
          <w:p>
            <w:pPr>
              <w:spacing w:after="0" w:line="240" w:lineRule="auto"/>
            </w:pPr>
            <w:r>
              <w:rPr>
                <w:rFonts w:ascii="Arial" w:hAnsi="Arial"/>
                <w:sz w:val="14"/>
              </w:rPr>
              <w:t>3</w:t>
            </w:r>
          </w:p>
        </w:tc>
        <w:tc>
          <w:tcPr>
            <w:tcW w:type="dxa" w:w="1008"/>
            <w:vAlign w:val="center"/>
            <w:tcMar>
              <w:top w:w="75" w:type="dxa"/>
              <w:start w:w="85" w:type="dxa"/>
              <w:bottom w:w="75" w:type="dxa"/>
              <w:end w:w="85" w:type="dxa"/>
            </w:tcMar>
          </w:tcPr>
          <w:p>
            <w:pPr>
              <w:spacing w:after="0" w:line="240" w:lineRule="auto"/>
            </w:pPr>
            <w:r>
              <w:rPr>
                <w:rFonts w:ascii="Arial" w:hAnsi="Arial"/>
                <w:sz w:val="14"/>
              </w:rPr>
              <w:t>Current approaches</w:t>
            </w:r>
          </w:p>
        </w:tc>
        <w:tc>
          <w:tcPr>
            <w:tcW w:type="dxa" w:w="3384"/>
            <w:vAlign w:val="center"/>
            <w:tcMar>
              <w:top w:w="75" w:type="dxa"/>
              <w:start w:w="85" w:type="dxa"/>
              <w:bottom w:w="75" w:type="dxa"/>
              <w:end w:w="85" w:type="dxa"/>
            </w:tcMar>
          </w:tcPr>
          <w:p>
            <w:pPr>
              <w:spacing w:after="0" w:line="240" w:lineRule="auto"/>
            </w:pPr>
            <w:r>
              <w:rPr>
                <w:rFonts w:ascii="Arial" w:hAnsi="Arial"/>
                <w:sz w:val="14"/>
              </w:rPr>
              <w:t>guidelines screening nonpharmacological multicomponent prevention management delirium hospitalized older adults nursing limitations implementation; year 2019 to 2026; human</w:t>
            </w:r>
          </w:p>
        </w:tc>
        <w:tc>
          <w:tcPr>
            <w:tcW w:type="dxa" w:w="936"/>
            <w:vAlign w:val="center"/>
            <w:tcMar>
              <w:top w:w="75" w:type="dxa"/>
              <w:start w:w="85" w:type="dxa"/>
              <w:bottom w:w="75" w:type="dxa"/>
              <w:end w:w="85" w:type="dxa"/>
            </w:tcMar>
          </w:tcPr>
          <w:p>
            <w:pPr>
              <w:spacing w:after="0" w:line="240" w:lineRule="auto"/>
            </w:pPr>
            <w:r>
              <w:rPr>
                <w:rFonts w:ascii="Arial" w:hAnsi="Arial"/>
                <w:sz w:val="14"/>
              </w:rPr>
              <w:t>20</w:t>
            </w:r>
          </w:p>
        </w:tc>
        <w:tc>
          <w:tcPr>
            <w:tcW w:type="dxa" w:w="936"/>
            <w:vAlign w:val="center"/>
            <w:tcMar>
              <w:top w:w="75" w:type="dxa"/>
              <w:start w:w="85" w:type="dxa"/>
              <w:bottom w:w="75" w:type="dxa"/>
              <w:end w:w="85" w:type="dxa"/>
            </w:tcMar>
          </w:tcPr>
          <w:p>
            <w:pPr>
              <w:spacing w:after="0" w:line="240" w:lineRule="auto"/>
            </w:pPr>
            <w:r>
              <w:rPr>
                <w:rFonts w:ascii="Arial" w:hAnsi="Arial"/>
                <w:sz w:val="14"/>
              </w:rPr>
              <w:t>20</w:t>
            </w:r>
          </w:p>
        </w:tc>
        <w:tc>
          <w:tcPr>
            <w:tcW w:type="dxa" w:w="936"/>
            <w:vAlign w:val="center"/>
            <w:tcMar>
              <w:top w:w="75" w:type="dxa"/>
              <w:start w:w="85" w:type="dxa"/>
              <w:bottom w:w="75" w:type="dxa"/>
              <w:end w:w="85" w:type="dxa"/>
            </w:tcMar>
          </w:tcPr>
          <w:p>
            <w:pPr>
              <w:spacing w:after="0" w:line="240" w:lineRule="auto"/>
            </w:pPr>
            <w:r>
              <w:rPr>
                <w:rFonts w:ascii="Arial" w:hAnsi="Arial"/>
                <w:sz w:val="14"/>
              </w:rPr>
              <w:t>3</w:t>
            </w:r>
          </w:p>
        </w:tc>
        <w:tc>
          <w:tcPr>
            <w:tcW w:type="dxa" w:w="979"/>
            <w:vAlign w:val="center"/>
            <w:tcMar>
              <w:top w:w="75" w:type="dxa"/>
              <w:start w:w="85" w:type="dxa"/>
              <w:bottom w:w="75" w:type="dxa"/>
              <w:end w:w="85" w:type="dxa"/>
            </w:tcMar>
          </w:tcPr>
          <w:p>
            <w:pPr>
              <w:spacing w:after="0" w:line="240" w:lineRule="auto"/>
            </w:pPr>
            <w:r>
              <w:rPr>
                <w:rFonts w:ascii="Arial" w:hAnsi="Arial"/>
                <w:sz w:val="14"/>
              </w:rPr>
              <w:t>Complete</w:t>
            </w:r>
          </w:p>
        </w:tc>
      </w:tr>
      <w:tr>
        <w:trPr>
          <w:cantSplit/>
        </w:trPr>
        <w:tc>
          <w:tcPr>
            <w:tcW w:type="dxa" w:w="605"/>
            <w:vAlign w:val="center"/>
            <w:tcMar>
              <w:top w:w="75" w:type="dxa"/>
              <w:start w:w="85" w:type="dxa"/>
              <w:bottom w:w="75" w:type="dxa"/>
              <w:end w:w="85" w:type="dxa"/>
            </w:tcMar>
            <w:shd w:fill="F5F8FC"/>
          </w:tcPr>
          <w:p>
            <w:pPr>
              <w:spacing w:after="0" w:line="240" w:lineRule="auto"/>
            </w:pPr>
            <w:r>
              <w:rPr>
                <w:rFonts w:ascii="Arial" w:hAnsi="Arial"/>
                <w:sz w:val="14"/>
              </w:rPr>
              <w:t>4</w:t>
            </w:r>
          </w:p>
        </w:tc>
        <w:tc>
          <w:tcPr>
            <w:tcW w:type="dxa" w:w="1008"/>
            <w:vAlign w:val="center"/>
            <w:tcMar>
              <w:top w:w="75" w:type="dxa"/>
              <w:start w:w="85" w:type="dxa"/>
              <w:bottom w:w="75" w:type="dxa"/>
              <w:end w:w="85" w:type="dxa"/>
            </w:tcMar>
            <w:shd w:fill="F5F8FC"/>
          </w:tcPr>
          <w:p>
            <w:pPr>
              <w:spacing w:after="0" w:line="240" w:lineRule="auto"/>
            </w:pPr>
            <w:r>
              <w:rPr>
                <w:rFonts w:ascii="Arial" w:hAnsi="Arial"/>
                <w:sz w:val="14"/>
              </w:rPr>
              <w:t>Adjacent method</w:t>
            </w:r>
          </w:p>
        </w:tc>
        <w:tc>
          <w:tcPr>
            <w:tcW w:type="dxa" w:w="3384"/>
            <w:vAlign w:val="center"/>
            <w:tcMar>
              <w:top w:w="75" w:type="dxa"/>
              <w:start w:w="85" w:type="dxa"/>
              <w:bottom w:w="75" w:type="dxa"/>
              <w:end w:w="85" w:type="dxa"/>
            </w:tcMar>
            <w:shd w:fill="F5F8FC"/>
          </w:tcPr>
          <w:p>
            <w:pPr>
              <w:spacing w:after="0" w:line="240" w:lineRule="auto"/>
            </w:pPr>
            <w:r>
              <w:rPr>
                <w:rFonts w:ascii="Arial" w:hAnsi="Arial"/>
                <w:sz w:val="14"/>
              </w:rPr>
              <w:t>wearable actigraphy accelerometer sleep activity continuous monitoring delirium risk prediction hospitalized older adults feasibility; year 2019 to 2026; human</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4"/>
              </w:rPr>
              <w:t>20</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4"/>
              </w:rPr>
              <w:t>20</w:t>
            </w:r>
          </w:p>
        </w:tc>
        <w:tc>
          <w:tcPr>
            <w:tcW w:type="dxa" w:w="936"/>
            <w:vAlign w:val="center"/>
            <w:tcMar>
              <w:top w:w="75" w:type="dxa"/>
              <w:start w:w="85" w:type="dxa"/>
              <w:bottom w:w="75" w:type="dxa"/>
              <w:end w:w="85" w:type="dxa"/>
            </w:tcMar>
            <w:shd w:fill="F5F8FC"/>
          </w:tcPr>
          <w:p>
            <w:pPr>
              <w:spacing w:after="0" w:line="240" w:lineRule="auto"/>
            </w:pPr>
            <w:r>
              <w:rPr>
                <w:rFonts w:ascii="Arial" w:hAnsi="Arial"/>
                <w:sz w:val="14"/>
              </w:rPr>
              <w:t>5</w:t>
            </w:r>
          </w:p>
        </w:tc>
        <w:tc>
          <w:tcPr>
            <w:tcW w:type="dxa" w:w="979"/>
            <w:vAlign w:val="center"/>
            <w:tcMar>
              <w:top w:w="75" w:type="dxa"/>
              <w:start w:w="85" w:type="dxa"/>
              <w:bottom w:w="75" w:type="dxa"/>
              <w:end w:w="85" w:type="dxa"/>
            </w:tcMar>
            <w:shd w:fill="F5F8FC"/>
          </w:tcPr>
          <w:p>
            <w:pPr>
              <w:spacing w:after="0" w:line="240" w:lineRule="auto"/>
            </w:pPr>
            <w:r>
              <w:rPr>
                <w:rFonts w:ascii="Arial" w:hAnsi="Arial"/>
                <w:sz w:val="14"/>
              </w:rPr>
              <w:t>Complete</w:t>
            </w:r>
          </w:p>
        </w:tc>
      </w:tr>
      <w:tr>
        <w:trPr>
          <w:cantSplit/>
        </w:trPr>
        <w:tc>
          <w:tcPr>
            <w:tcW w:type="dxa" w:w="605"/>
            <w:vAlign w:val="center"/>
            <w:tcMar>
              <w:top w:w="75" w:type="dxa"/>
              <w:start w:w="85" w:type="dxa"/>
              <w:bottom w:w="75" w:type="dxa"/>
              <w:end w:w="85" w:type="dxa"/>
            </w:tcMar>
          </w:tcPr>
          <w:p>
            <w:pPr>
              <w:spacing w:after="0" w:line="240" w:lineRule="auto"/>
            </w:pPr>
            <w:r>
              <w:rPr>
                <w:rFonts w:ascii="Arial" w:hAnsi="Arial"/>
                <w:sz w:val="14"/>
              </w:rPr>
              <w:t>5</w:t>
            </w:r>
          </w:p>
        </w:tc>
        <w:tc>
          <w:tcPr>
            <w:tcW w:type="dxa" w:w="1008"/>
            <w:vAlign w:val="center"/>
            <w:tcMar>
              <w:top w:w="75" w:type="dxa"/>
              <w:start w:w="85" w:type="dxa"/>
              <w:bottom w:w="75" w:type="dxa"/>
              <w:end w:w="85" w:type="dxa"/>
            </w:tcMar>
          </w:tcPr>
          <w:p>
            <w:pPr>
              <w:spacing w:after="0" w:line="240" w:lineRule="auto"/>
            </w:pPr>
            <w:r>
              <w:rPr>
                <w:rFonts w:ascii="Arial" w:hAnsi="Arial"/>
                <w:sz w:val="14"/>
              </w:rPr>
              <w:t>Explicit gaps</w:t>
            </w:r>
          </w:p>
        </w:tc>
        <w:tc>
          <w:tcPr>
            <w:tcW w:type="dxa" w:w="3384"/>
            <w:vAlign w:val="center"/>
            <w:tcMar>
              <w:top w:w="75" w:type="dxa"/>
              <w:start w:w="85" w:type="dxa"/>
              <w:bottom w:w="75" w:type="dxa"/>
              <w:end w:w="85" w:type="dxa"/>
            </w:tcMar>
          </w:tcPr>
          <w:p>
            <w:pPr>
              <w:spacing w:after="0" w:line="240" w:lineRule="auto"/>
            </w:pPr>
            <w:r>
              <w:rPr>
                <w:rFonts w:ascii="Arial" w:hAnsi="Arial"/>
                <w:sz w:val="14"/>
              </w:rPr>
              <w:t>research gaps limitations future directions wearable monitoring nurse led delirium prevention hospitalized older adults implementation validation; year 2019 to 2026; human</w:t>
            </w:r>
          </w:p>
        </w:tc>
        <w:tc>
          <w:tcPr>
            <w:tcW w:type="dxa" w:w="936"/>
            <w:vAlign w:val="center"/>
            <w:tcMar>
              <w:top w:w="75" w:type="dxa"/>
              <w:start w:w="85" w:type="dxa"/>
              <w:bottom w:w="75" w:type="dxa"/>
              <w:end w:w="85" w:type="dxa"/>
            </w:tcMar>
          </w:tcPr>
          <w:p>
            <w:pPr>
              <w:spacing w:after="0" w:line="240" w:lineRule="auto"/>
            </w:pPr>
            <w:r>
              <w:rPr>
                <w:rFonts w:ascii="Arial" w:hAnsi="Arial"/>
                <w:sz w:val="14"/>
              </w:rPr>
              <w:t>20</w:t>
            </w:r>
          </w:p>
        </w:tc>
        <w:tc>
          <w:tcPr>
            <w:tcW w:type="dxa" w:w="936"/>
            <w:vAlign w:val="center"/>
            <w:tcMar>
              <w:top w:w="75" w:type="dxa"/>
              <w:start w:w="85" w:type="dxa"/>
              <w:bottom w:w="75" w:type="dxa"/>
              <w:end w:w="85" w:type="dxa"/>
            </w:tcMar>
          </w:tcPr>
          <w:p>
            <w:pPr>
              <w:spacing w:after="0" w:line="240" w:lineRule="auto"/>
            </w:pPr>
            <w:r>
              <w:rPr>
                <w:rFonts w:ascii="Arial" w:hAnsi="Arial"/>
                <w:sz w:val="14"/>
              </w:rPr>
              <w:t>20</w:t>
            </w:r>
          </w:p>
        </w:tc>
        <w:tc>
          <w:tcPr>
            <w:tcW w:type="dxa" w:w="936"/>
            <w:vAlign w:val="center"/>
            <w:tcMar>
              <w:top w:w="75" w:type="dxa"/>
              <w:start w:w="85" w:type="dxa"/>
              <w:bottom w:w="75" w:type="dxa"/>
              <w:end w:w="85" w:type="dxa"/>
            </w:tcMar>
          </w:tcPr>
          <w:p>
            <w:pPr>
              <w:spacing w:after="0" w:line="240" w:lineRule="auto"/>
            </w:pPr>
            <w:r>
              <w:rPr>
                <w:rFonts w:ascii="Arial" w:hAnsi="Arial"/>
                <w:sz w:val="14"/>
              </w:rPr>
              <w:t>6</w:t>
            </w:r>
          </w:p>
        </w:tc>
        <w:tc>
          <w:tcPr>
            <w:tcW w:type="dxa" w:w="979"/>
            <w:vAlign w:val="center"/>
            <w:tcMar>
              <w:top w:w="75" w:type="dxa"/>
              <w:start w:w="85" w:type="dxa"/>
              <w:bottom w:w="75" w:type="dxa"/>
              <w:end w:w="85" w:type="dxa"/>
            </w:tcMar>
          </w:tcPr>
          <w:p>
            <w:pPr>
              <w:spacing w:after="0" w:line="240" w:lineRule="auto"/>
            </w:pPr>
            <w:r>
              <w:rPr>
                <w:rFonts w:ascii="Arial" w:hAnsi="Arial"/>
                <w:sz w:val="14"/>
              </w:rPr>
              <w:t>Complete</w:t>
            </w:r>
          </w:p>
        </w:tc>
      </w:tr>
    </w:tbl>
    <w:p>
      <w:pPr>
        <w:spacing w:after="0"/>
      </w:pPr>
    </w:p>
    <w:p>
      <w:pPr>
        <w:spacing w:after="80" w:line="252" w:lineRule="auto"/>
      </w:pPr>
      <w:r>
        <w:t>Consensus plan tier: Pro. Each query returned all 20 papers shown, so no plan tier display cap was detected. Across five searches, 100 records were shown before deduplication. Eighteen unique papers were fetched and cited after relevance screening; papers appearing in multiple facets were counted once in the reference list.</w:t>
      </w:r>
    </w:p>
    <w:p>
      <w:pPr>
        <w:pStyle w:val="Heading2"/>
        <w:keepNext/>
      </w:pPr>
      <w:r>
        <w:t>RePORTER searches Phase 2B</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2016"/>
        <w:gridCol w:w="2016"/>
        <w:gridCol w:w="2016"/>
        <w:gridCol w:w="2016"/>
      </w:tblGrid>
      <w:tr>
        <w:trPr>
          <w:tblHeader w:val="true"/>
        </w:trPr>
        <w:tc>
          <w:tcPr>
            <w:tcW w:type="dxa" w:w="1512"/>
            <w:shd w:fill="E8F0F8"/>
            <w:vAlign w:val="center"/>
          </w:tcPr>
          <w:p>
            <w:pPr>
              <w:spacing w:after="0"/>
            </w:pPr>
            <w:r>
              <w:rPr>
                <w:b/>
                <w:sz w:val="15"/>
              </w:rPr>
              <w:t>Search Type</w:t>
            </w:r>
          </w:p>
        </w:tc>
        <w:tc>
          <w:tcPr>
            <w:tcW w:type="dxa" w:w="3240"/>
            <w:shd w:fill="E8F0F8"/>
            <w:vAlign w:val="center"/>
          </w:tcPr>
          <w:p>
            <w:pPr>
              <w:spacing w:after="0"/>
            </w:pPr>
            <w:r>
              <w:rPr>
                <w:b/>
                <w:sz w:val="15"/>
              </w:rPr>
              <w:t>Keywords</w:t>
            </w:r>
          </w:p>
        </w:tc>
        <w:tc>
          <w:tcPr>
            <w:tcW w:type="dxa" w:w="1512"/>
            <w:shd w:fill="E8F0F8"/>
            <w:vAlign w:val="center"/>
          </w:tcPr>
          <w:p>
            <w:pPr>
              <w:spacing w:after="0"/>
            </w:pPr>
            <w:r>
              <w:rPr>
                <w:b/>
                <w:sz w:val="15"/>
              </w:rPr>
              <w:t>Total / Returned</w:t>
            </w:r>
          </w:p>
        </w:tc>
        <w:tc>
          <w:tcPr>
            <w:tcW w:type="dxa" w:w="1944"/>
            <w:shd w:fill="E8F0F8"/>
            <w:vAlign w:val="center"/>
          </w:tcPr>
          <w:p>
            <w:pPr>
              <w:spacing w:after="0"/>
            </w:pPr>
            <w:r>
              <w:rPr>
                <w:b/>
                <w:sz w:val="15"/>
              </w:rPr>
              <w:t>Relevant Projects Used</w:t>
            </w:r>
          </w:p>
        </w:tc>
        <w:tc>
          <w:tcPr>
            <w:tcW w:type="dxa" w:w="2160"/>
            <w:shd w:fill="E8F0F8"/>
            <w:vAlign w:val="center"/>
          </w:tcPr>
          <w:p>
            <w:pPr>
              <w:spacing w:after="0"/>
            </w:pPr>
            <w:r>
              <w:rPr>
                <w:b/>
                <w:sz w:val="15"/>
              </w:rPr>
              <w:t>Status</w:t>
            </w:r>
          </w:p>
        </w:tc>
      </w:tr>
      <w:tr>
        <w:trPr>
          <w:cantSplit/>
        </w:trPr>
        <w:tc>
          <w:tcPr>
            <w:tcW w:type="dxa" w:w="1512"/>
            <w:vAlign w:val="center"/>
            <w:tcMar>
              <w:top w:w="75" w:type="dxa"/>
              <w:start w:w="85" w:type="dxa"/>
              <w:bottom w:w="75" w:type="dxa"/>
              <w:end w:w="85" w:type="dxa"/>
            </w:tcMar>
          </w:tcPr>
          <w:p>
            <w:pPr>
              <w:spacing w:after="0" w:line="240" w:lineRule="auto"/>
            </w:pPr>
            <w:r>
              <w:rPr>
                <w:rFonts w:ascii="Arial" w:hAnsi="Arial"/>
                <w:sz w:val="15"/>
              </w:rPr>
              <w:t>Narrow AND</w:t>
            </w:r>
          </w:p>
        </w:tc>
        <w:tc>
          <w:tcPr>
            <w:tcW w:type="dxa" w:w="3240"/>
            <w:vAlign w:val="center"/>
            <w:tcMar>
              <w:top w:w="75" w:type="dxa"/>
              <w:start w:w="85" w:type="dxa"/>
              <w:bottom w:w="75" w:type="dxa"/>
              <w:end w:w="85" w:type="dxa"/>
            </w:tcMar>
          </w:tcPr>
          <w:p>
            <w:pPr>
              <w:spacing w:after="0" w:line="240" w:lineRule="auto"/>
            </w:pPr>
            <w:r>
              <w:rPr>
                <w:rFonts w:ascii="Arial" w:hAnsi="Arial"/>
                <w:sz w:val="15"/>
              </w:rPr>
              <w:t>delirium older adults wearable nursing</w:t>
            </w:r>
          </w:p>
        </w:tc>
        <w:tc>
          <w:tcPr>
            <w:tcW w:type="dxa" w:w="1512"/>
            <w:vAlign w:val="center"/>
            <w:tcMar>
              <w:top w:w="75" w:type="dxa"/>
              <w:start w:w="85" w:type="dxa"/>
              <w:bottom w:w="75" w:type="dxa"/>
              <w:end w:w="85" w:type="dxa"/>
            </w:tcMar>
          </w:tcPr>
          <w:p>
            <w:pPr>
              <w:spacing w:after="0" w:line="240" w:lineRule="auto"/>
            </w:pPr>
            <w:r>
              <w:rPr>
                <w:rFonts w:ascii="Arial" w:hAnsi="Arial"/>
                <w:sz w:val="15"/>
              </w:rPr>
              <w:t>0 / 0</w:t>
            </w:r>
          </w:p>
        </w:tc>
        <w:tc>
          <w:tcPr>
            <w:tcW w:type="dxa" w:w="1944"/>
            <w:vAlign w:val="center"/>
            <w:tcMar>
              <w:top w:w="75" w:type="dxa"/>
              <w:start w:w="85" w:type="dxa"/>
              <w:bottom w:w="75" w:type="dxa"/>
              <w:end w:w="85" w:type="dxa"/>
            </w:tcMar>
          </w:tcPr>
          <w:p>
            <w:pPr>
              <w:spacing w:after="0" w:line="240" w:lineRule="auto"/>
            </w:pPr>
            <w:r>
              <w:rPr>
                <w:rFonts w:ascii="Arial" w:hAnsi="Arial"/>
                <w:sz w:val="15"/>
              </w:rPr>
              <w:t>0</w:t>
            </w:r>
          </w:p>
        </w:tc>
        <w:tc>
          <w:tcPr>
            <w:tcW w:type="dxa" w:w="2160"/>
            <w:vAlign w:val="center"/>
            <w:tcMar>
              <w:top w:w="75" w:type="dxa"/>
              <w:start w:w="85" w:type="dxa"/>
              <w:bottom w:w="75" w:type="dxa"/>
              <w:end w:w="85" w:type="dxa"/>
            </w:tcMar>
          </w:tcPr>
          <w:p>
            <w:pPr>
              <w:spacing w:after="0" w:line="240" w:lineRule="auto"/>
            </w:pPr>
            <w:r>
              <w:rPr>
                <w:rFonts w:ascii="Arial" w:hAnsi="Arial"/>
                <w:sz w:val="15"/>
              </w:rPr>
              <w:t>Valid response; too narrow.</w:t>
            </w:r>
          </w:p>
        </w:tc>
      </w:tr>
      <w:tr>
        <w:trPr>
          <w:cantSplit/>
        </w:trPr>
        <w:tc>
          <w:tcPr>
            <w:tcW w:type="dxa" w:w="1512"/>
            <w:vAlign w:val="center"/>
            <w:tcMar>
              <w:top w:w="75" w:type="dxa"/>
              <w:start w:w="85" w:type="dxa"/>
              <w:bottom w:w="75" w:type="dxa"/>
              <w:end w:w="85" w:type="dxa"/>
            </w:tcMar>
            <w:shd w:fill="F5F8FC"/>
          </w:tcPr>
          <w:p>
            <w:pPr>
              <w:spacing w:after="0" w:line="240" w:lineRule="auto"/>
            </w:pPr>
            <w:r>
              <w:rPr>
                <w:rFonts w:ascii="Arial" w:hAnsi="Arial"/>
                <w:sz w:val="15"/>
              </w:rPr>
              <w:t>Broad OR</w:t>
            </w:r>
          </w:p>
        </w:tc>
        <w:tc>
          <w:tcPr>
            <w:tcW w:type="dxa" w:w="3240"/>
            <w:vAlign w:val="center"/>
            <w:tcMar>
              <w:top w:w="75" w:type="dxa"/>
              <w:start w:w="85" w:type="dxa"/>
              <w:bottom w:w="75" w:type="dxa"/>
              <w:end w:w="85" w:type="dxa"/>
            </w:tcMar>
            <w:shd w:fill="F5F8FC"/>
          </w:tcPr>
          <w:p>
            <w:pPr>
              <w:spacing w:after="0" w:line="240" w:lineRule="auto"/>
            </w:pPr>
            <w:r>
              <w:rPr>
                <w:rFonts w:ascii="Arial" w:hAnsi="Arial"/>
                <w:sz w:val="15"/>
              </w:rPr>
              <w:t>delirium actigraphy wearable sleep activity hospitalized older adults nursing prevention</w:t>
            </w:r>
          </w:p>
        </w:tc>
        <w:tc>
          <w:tcPr>
            <w:tcW w:type="dxa" w:w="1512"/>
            <w:vAlign w:val="center"/>
            <w:tcMar>
              <w:top w:w="75" w:type="dxa"/>
              <w:start w:w="85" w:type="dxa"/>
              <w:bottom w:w="75" w:type="dxa"/>
              <w:end w:w="85" w:type="dxa"/>
            </w:tcMar>
            <w:shd w:fill="F5F8FC"/>
          </w:tcPr>
          <w:p>
            <w:pPr>
              <w:spacing w:after="0" w:line="240" w:lineRule="auto"/>
            </w:pPr>
            <w:r>
              <w:rPr>
                <w:rFonts w:ascii="Arial" w:hAnsi="Arial"/>
                <w:sz w:val="15"/>
              </w:rPr>
              <w:t>148,679 / 20</w:t>
            </w:r>
          </w:p>
        </w:tc>
        <w:tc>
          <w:tcPr>
            <w:tcW w:type="dxa" w:w="1944"/>
            <w:vAlign w:val="center"/>
            <w:tcMar>
              <w:top w:w="75" w:type="dxa"/>
              <w:start w:w="85" w:type="dxa"/>
              <w:bottom w:w="75" w:type="dxa"/>
              <w:end w:w="85" w:type="dxa"/>
            </w:tcMar>
            <w:shd w:fill="F5F8FC"/>
          </w:tcPr>
          <w:p>
            <w:pPr>
              <w:spacing w:after="0" w:line="240" w:lineRule="auto"/>
            </w:pPr>
            <w:r>
              <w:rPr>
                <w:rFonts w:ascii="Arial" w:hAnsi="Arial"/>
                <w:sz w:val="15"/>
              </w:rPr>
              <w:t>8 screened as directly relevant</w:t>
            </w:r>
          </w:p>
        </w:tc>
        <w:tc>
          <w:tcPr>
            <w:tcW w:type="dxa" w:w="2160"/>
            <w:vAlign w:val="center"/>
            <w:tcMar>
              <w:top w:w="75" w:type="dxa"/>
              <w:start w:w="85" w:type="dxa"/>
              <w:bottom w:w="75" w:type="dxa"/>
              <w:end w:w="85" w:type="dxa"/>
            </w:tcMar>
            <w:shd w:fill="F5F8FC"/>
          </w:tcPr>
          <w:p>
            <w:pPr>
              <w:spacing w:after="0" w:line="240" w:lineRule="auto"/>
            </w:pPr>
            <w:r>
              <w:rPr>
                <w:rFonts w:ascii="Arial" w:hAnsi="Arial"/>
                <w:sz w:val="15"/>
              </w:rPr>
              <w:t>Valid but unfocused; excluded from institute ranking except directly relevant records.</w:t>
            </w:r>
          </w:p>
        </w:tc>
      </w:tr>
      <w:tr>
        <w:trPr>
          <w:cantSplit/>
        </w:trPr>
        <w:tc>
          <w:tcPr>
            <w:tcW w:type="dxa" w:w="1512"/>
            <w:vAlign w:val="center"/>
            <w:tcMar>
              <w:top w:w="75" w:type="dxa"/>
              <w:start w:w="85" w:type="dxa"/>
              <w:bottom w:w="75" w:type="dxa"/>
              <w:end w:w="85" w:type="dxa"/>
            </w:tcMar>
          </w:tcPr>
          <w:p>
            <w:pPr>
              <w:spacing w:after="0" w:line="240" w:lineRule="auto"/>
            </w:pPr>
            <w:r>
              <w:rPr>
                <w:rFonts w:ascii="Arial" w:hAnsi="Arial"/>
                <w:sz w:val="15"/>
              </w:rPr>
              <w:t>Refinement 1 AND</w:t>
            </w:r>
          </w:p>
        </w:tc>
        <w:tc>
          <w:tcPr>
            <w:tcW w:type="dxa" w:w="3240"/>
            <w:vAlign w:val="center"/>
            <w:tcMar>
              <w:top w:w="75" w:type="dxa"/>
              <w:start w:w="85" w:type="dxa"/>
              <w:bottom w:w="75" w:type="dxa"/>
              <w:end w:w="85" w:type="dxa"/>
            </w:tcMar>
          </w:tcPr>
          <w:p>
            <w:pPr>
              <w:spacing w:after="0" w:line="240" w:lineRule="auto"/>
            </w:pPr>
            <w:r>
              <w:rPr>
                <w:rFonts w:ascii="Arial" w:hAnsi="Arial"/>
                <w:sz w:val="15"/>
              </w:rPr>
              <w:t>delirium hospitalized older adults</w:t>
            </w:r>
          </w:p>
        </w:tc>
        <w:tc>
          <w:tcPr>
            <w:tcW w:type="dxa" w:w="1512"/>
            <w:vAlign w:val="center"/>
            <w:tcMar>
              <w:top w:w="75" w:type="dxa"/>
              <w:start w:w="85" w:type="dxa"/>
              <w:bottom w:w="75" w:type="dxa"/>
              <w:end w:w="85" w:type="dxa"/>
            </w:tcMar>
          </w:tcPr>
          <w:p>
            <w:pPr>
              <w:spacing w:after="0" w:line="240" w:lineRule="auto"/>
            </w:pPr>
            <w:r>
              <w:rPr>
                <w:rFonts w:ascii="Arial" w:hAnsi="Arial"/>
                <w:sz w:val="15"/>
              </w:rPr>
              <w:t>62 / 20</w:t>
            </w:r>
          </w:p>
        </w:tc>
        <w:tc>
          <w:tcPr>
            <w:tcW w:type="dxa" w:w="1944"/>
            <w:vAlign w:val="center"/>
            <w:tcMar>
              <w:top w:w="75" w:type="dxa"/>
              <w:start w:w="85" w:type="dxa"/>
              <w:bottom w:w="75" w:type="dxa"/>
              <w:end w:w="85" w:type="dxa"/>
            </w:tcMar>
          </w:tcPr>
          <w:p>
            <w:pPr>
              <w:spacing w:after="0" w:line="240" w:lineRule="auto"/>
            </w:pPr>
            <w:r>
              <w:rPr>
                <w:rFonts w:ascii="Arial" w:hAnsi="Arial"/>
                <w:sz w:val="15"/>
              </w:rPr>
              <w:t>14 unique directly or closely relevant after deduplication</w:t>
            </w:r>
          </w:p>
        </w:tc>
        <w:tc>
          <w:tcPr>
            <w:tcW w:type="dxa" w:w="2160"/>
            <w:vAlign w:val="center"/>
            <w:tcMar>
              <w:top w:w="75" w:type="dxa"/>
              <w:start w:w="85" w:type="dxa"/>
              <w:bottom w:w="75" w:type="dxa"/>
              <w:end w:w="85" w:type="dxa"/>
            </w:tcMar>
          </w:tcPr>
          <w:p>
            <w:pPr>
              <w:spacing w:after="0" w:line="240" w:lineRule="auto"/>
            </w:pPr>
            <w:r>
              <w:rPr>
                <w:rFonts w:ascii="Arial" w:hAnsi="Arial"/>
                <w:sz w:val="15"/>
              </w:rPr>
              <w:t>Valid; used for portfolio mapping.</w:t>
            </w:r>
          </w:p>
        </w:tc>
      </w:tr>
      <w:tr>
        <w:trPr>
          <w:cantSplit/>
        </w:trPr>
        <w:tc>
          <w:tcPr>
            <w:tcW w:type="dxa" w:w="1512"/>
            <w:vAlign w:val="center"/>
            <w:tcMar>
              <w:top w:w="75" w:type="dxa"/>
              <w:start w:w="85" w:type="dxa"/>
              <w:bottom w:w="75" w:type="dxa"/>
              <w:end w:w="85" w:type="dxa"/>
            </w:tcMar>
            <w:shd w:fill="F5F8FC"/>
          </w:tcPr>
          <w:p>
            <w:pPr>
              <w:spacing w:after="0" w:line="240" w:lineRule="auto"/>
            </w:pPr>
            <w:r>
              <w:rPr>
                <w:rFonts w:ascii="Arial" w:hAnsi="Arial"/>
                <w:sz w:val="15"/>
              </w:rPr>
              <w:t>Refinement 2 AND</w:t>
            </w:r>
          </w:p>
        </w:tc>
        <w:tc>
          <w:tcPr>
            <w:tcW w:type="dxa" w:w="3240"/>
            <w:vAlign w:val="center"/>
            <w:tcMar>
              <w:top w:w="75" w:type="dxa"/>
              <w:start w:w="85" w:type="dxa"/>
              <w:bottom w:w="75" w:type="dxa"/>
              <w:end w:w="85" w:type="dxa"/>
            </w:tcMar>
            <w:shd w:fill="F5F8FC"/>
          </w:tcPr>
          <w:p>
            <w:pPr>
              <w:spacing w:after="0" w:line="240" w:lineRule="auto"/>
            </w:pPr>
            <w:r>
              <w:rPr>
                <w:rFonts w:ascii="Arial" w:hAnsi="Arial"/>
                <w:sz w:val="15"/>
              </w:rPr>
              <w:t>delirium sleep activity monitoring</w:t>
            </w:r>
          </w:p>
        </w:tc>
        <w:tc>
          <w:tcPr>
            <w:tcW w:type="dxa" w:w="1512"/>
            <w:vAlign w:val="center"/>
            <w:tcMar>
              <w:top w:w="75" w:type="dxa"/>
              <w:start w:w="85" w:type="dxa"/>
              <w:bottom w:w="75" w:type="dxa"/>
              <w:end w:w="85" w:type="dxa"/>
            </w:tcMar>
            <w:shd w:fill="F5F8FC"/>
          </w:tcPr>
          <w:p>
            <w:pPr>
              <w:spacing w:after="0" w:line="240" w:lineRule="auto"/>
            </w:pPr>
            <w:r>
              <w:rPr>
                <w:rFonts w:ascii="Arial" w:hAnsi="Arial"/>
                <w:sz w:val="15"/>
              </w:rPr>
              <w:t>18 / 18</w:t>
            </w:r>
          </w:p>
        </w:tc>
        <w:tc>
          <w:tcPr>
            <w:tcW w:type="dxa" w:w="1944"/>
            <w:vAlign w:val="center"/>
            <w:tcMar>
              <w:top w:w="75" w:type="dxa"/>
              <w:start w:w="85" w:type="dxa"/>
              <w:bottom w:w="75" w:type="dxa"/>
              <w:end w:w="85" w:type="dxa"/>
            </w:tcMar>
            <w:shd w:fill="F5F8FC"/>
          </w:tcPr>
          <w:p>
            <w:pPr>
              <w:spacing w:after="0" w:line="240" w:lineRule="auto"/>
            </w:pPr>
            <w:r>
              <w:rPr>
                <w:rFonts w:ascii="Arial" w:hAnsi="Arial"/>
                <w:sz w:val="15"/>
              </w:rPr>
              <w:t>7 unique directly or closely relevant after deduplication</w:t>
            </w:r>
          </w:p>
        </w:tc>
        <w:tc>
          <w:tcPr>
            <w:tcW w:type="dxa" w:w="2160"/>
            <w:vAlign w:val="center"/>
            <w:tcMar>
              <w:top w:w="75" w:type="dxa"/>
              <w:start w:w="85" w:type="dxa"/>
              <w:bottom w:w="75" w:type="dxa"/>
              <w:end w:w="85" w:type="dxa"/>
            </w:tcMar>
            <w:shd w:fill="F5F8FC"/>
          </w:tcPr>
          <w:p>
            <w:pPr>
              <w:spacing w:after="0" w:line="240" w:lineRule="auto"/>
            </w:pPr>
            <w:r>
              <w:rPr>
                <w:rFonts w:ascii="Arial" w:hAnsi="Arial"/>
                <w:sz w:val="15"/>
              </w:rPr>
              <w:t>Valid; used for portfolio mapping.</w:t>
            </w:r>
          </w:p>
        </w:tc>
      </w:tr>
    </w:tbl>
    <w:p>
      <w:pPr>
        <w:spacing w:after="0"/>
      </w:pPr>
    </w:p>
    <w:p>
      <w:pPr>
        <w:spacing w:after="80" w:line="252" w:lineRule="auto"/>
      </w:pPr>
      <w:r>
        <w:t>RePORTER fiscal year filter: 2023, 2024, 2025, and 2026, with active projects requested. Results were deduplicated by project number for the displayed similar project table; competing and noncompeting years were not treated as distinct scientific projects in the institute interpretation. Five projects were cited in Section 5.</w:t>
      </w:r>
    </w:p>
    <w:p>
      <w:pPr>
        <w:pStyle w:val="Heading2"/>
        <w:keepNext/>
      </w:pPr>
      <w:r>
        <w:t>NOSI detection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60"/>
        <w:gridCol w:w="3360"/>
        <w:gridCol w:w="3360"/>
      </w:tblGrid>
      <w:tr>
        <w:trPr>
          <w:tblHeader w:val="true"/>
        </w:trPr>
        <w:tc>
          <w:tcPr>
            <w:tcW w:type="dxa" w:w="3888"/>
            <w:shd w:fill="E8F0F8"/>
            <w:vAlign w:val="center"/>
          </w:tcPr>
          <w:p>
            <w:pPr>
              <w:spacing w:after="0"/>
            </w:pPr>
            <w:r>
              <w:rPr>
                <w:b/>
                <w:sz w:val="17"/>
              </w:rPr>
              <w:t>NOSI Number</w:t>
            </w:r>
          </w:p>
        </w:tc>
        <w:tc>
          <w:tcPr>
            <w:tcW w:type="dxa" w:w="2880"/>
            <w:shd w:fill="E8F0F8"/>
            <w:vAlign w:val="center"/>
          </w:tcPr>
          <w:p>
            <w:pPr>
              <w:spacing w:after="0"/>
            </w:pPr>
            <w:r>
              <w:rPr>
                <w:b/>
                <w:sz w:val="17"/>
              </w:rPr>
              <w:t>Fetch Status</w:t>
            </w:r>
          </w:p>
        </w:tc>
        <w:tc>
          <w:tcPr>
            <w:tcW w:type="dxa" w:w="3600"/>
            <w:shd w:fill="E8F0F8"/>
            <w:vAlign w:val="center"/>
          </w:tcPr>
          <w:p>
            <w:pPr>
              <w:spacing w:after="0"/>
            </w:pPr>
            <w:r>
              <w:rPr>
                <w:b/>
                <w:sz w:val="17"/>
              </w:rPr>
              <w:t>Included in Report Yes or No</w:t>
            </w:r>
          </w:p>
        </w:tc>
      </w:tr>
      <w:tr>
        <w:trPr>
          <w:cantSplit/>
        </w:trPr>
        <w:tc>
          <w:tcPr>
            <w:tcW w:type="dxa" w:w="3888"/>
            <w:vAlign w:val="center"/>
            <w:tcMar>
              <w:top w:w="75" w:type="dxa"/>
              <w:start w:w="85" w:type="dxa"/>
              <w:bottom w:w="75" w:type="dxa"/>
              <w:end w:w="85" w:type="dxa"/>
            </w:tcMar>
          </w:tcPr>
          <w:p>
            <w:pPr>
              <w:spacing w:after="0" w:line="240" w:lineRule="auto"/>
            </w:pPr>
            <w:r>
              <w:rPr>
                <w:rFonts w:ascii="Arial" w:hAnsi="Arial"/>
                <w:sz w:val="17"/>
              </w:rPr>
              <w:t>No NOT prefixed opportunity number returned</w:t>
            </w:r>
          </w:p>
        </w:tc>
        <w:tc>
          <w:tcPr>
            <w:tcW w:type="dxa" w:w="2880"/>
            <w:vAlign w:val="center"/>
            <w:tcMar>
              <w:top w:w="75" w:type="dxa"/>
              <w:start w:w="85" w:type="dxa"/>
              <w:bottom w:w="75" w:type="dxa"/>
              <w:end w:w="85" w:type="dxa"/>
            </w:tcMar>
          </w:tcPr>
          <w:p>
            <w:pPr>
              <w:spacing w:after="0" w:line="240" w:lineRule="auto"/>
            </w:pPr>
            <w:r>
              <w:rPr>
                <w:rFonts w:ascii="Arial" w:hAnsi="Arial"/>
                <w:sz w:val="17"/>
              </w:rPr>
              <w:t>Not applicable</w:t>
            </w:r>
          </w:p>
        </w:tc>
        <w:tc>
          <w:tcPr>
            <w:tcW w:type="dxa" w:w="3600"/>
            <w:vAlign w:val="center"/>
            <w:tcMar>
              <w:top w:w="75" w:type="dxa"/>
              <w:start w:w="85" w:type="dxa"/>
              <w:bottom w:w="75" w:type="dxa"/>
              <w:end w:w="85" w:type="dxa"/>
            </w:tcMar>
          </w:tcPr>
          <w:p>
            <w:pPr>
              <w:spacing w:after="0" w:line="240" w:lineRule="auto"/>
            </w:pPr>
            <w:r>
              <w:rPr>
                <w:rFonts w:ascii="Arial" w:hAnsi="Arial"/>
                <w:sz w:val="17"/>
              </w:rPr>
              <w:t>No</w:t>
            </w:r>
          </w:p>
        </w:tc>
      </w:tr>
    </w:tbl>
    <w:p>
      <w:pPr>
        <w:spacing w:after="0"/>
      </w:pPr>
    </w:p>
    <w:p>
      <w:pPr>
        <w:pStyle w:val="Heading2"/>
        <w:keepNext/>
      </w:pPr>
      <w:r>
        <w:t>Tool constraints</w:t>
      </w:r>
    </w:p>
    <w:p>
      <w:pPr>
        <w:spacing w:after="80" w:line="252" w:lineRule="auto"/>
      </w:pPr>
      <w:r>
        <w:t>Consensus returned up to 20 results per query under the Pro plan. RePORTER queries were limited to 20 returned records per call. The broad query had a very large total and was not suitable for portfolio ranking, so two targeted refinements were used. These caps mean the analysis covers the most relevant returned results rather than an exhaustive literature review or complete NIH portfolio. Study section values were absent from the returned records, preventing an empirical panel ranking.</w:t>
      </w:r>
    </w:p>
    <w:p>
      <w:pPr>
        <w:pStyle w:val="Heading2"/>
        <w:keepNext/>
      </w:pPr>
      <w:r>
        <w:t>Failed and retried steps</w:t>
      </w:r>
    </w:p>
    <w:p>
      <w:pPr>
        <w:spacing w:after="80" w:line="252" w:lineRule="auto"/>
      </w:pPr>
      <w:r>
        <w:t>The initial narrow RePORTER request failed once because the API rejected a comma separated search field value. After the required pause, the request was corrected to the supported All field and returned a valid zero result response. No Consensus search or paper fetch failed. One broad RePORTER query was retained only for screening because fewer than half of its top 20 records were substantively relevant.</w:t>
      </w:r>
    </w:p>
    <w:p>
      <w:pPr>
        <w:spacing w:after="80" w:line="252" w:lineRule="auto"/>
      </w:pPr>
      <w:r>
        <w:t>Summary statistics: five Consensus queries sent; 100 papers found and shown in aggregate; 18 unique papers fetched and cited. Four valid RePORTER search responses were obtained after one corrected retry; 58 records were returned across valid responses before overlap and relevance screening; five funded projects were cited. No verified NOSI and no empirically rankable study section were returned.</w:t>
      </w:r>
    </w:p>
    <w:sectPr w:rsidR="00FC693F" w:rsidRPr="0006063C" w:rsidSect="00034616">
      <w:headerReference w:type="default" r:id="rId9"/>
      <w:footerReference w:type="default" r:id="rId10"/>
      <w:pgSz w:w="12240" w:h="15840"/>
      <w:pgMar w:top="1037"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6"/>
      </w:rPr>
      <w:t xml:space="preserve">Delirium wearable grant research  |  17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5A5A5A"/>
        <w:sz w:val="16"/>
      </w:rPr>
      <w:t>NIH grant research  |  Nurse led wearable assisted delirium prevention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1A3A5C"/>
      <w:sz w:val="22"/>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eastAsia="Arial"/>
      <w:b/>
      <w:bCs/>
      <w:color w:val="1A3A5C"/>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Number">
    <w:name w:val="Compact Number"/>
    <w:basedOn w:val="ListNumber"/>
    <w:pPr>
      <w:spacing w:after="80"/>
    </w:pPr>
    <w:rPr>
      <w:rFonts w:ascii="Arial" w:hAnsi="Arial"/>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onsensus.app/papers/details/8c6b94478acd55719ed142d6731c18ef/?utm_source=chatgpt" TargetMode="External"/><Relationship Id="rId12" Type="http://schemas.openxmlformats.org/officeDocument/2006/relationships/hyperlink" Target="https://consensus.app/papers/details/0acb94804ce25d4caad67ae6e9269c3a/?utm_source=chatgpt" TargetMode="External"/><Relationship Id="rId13" Type="http://schemas.openxmlformats.org/officeDocument/2006/relationships/hyperlink" Target="https://consensus.app/papers/details/3dd23d9974fe588ead6f225971593373/?utm_source=chatgpt" TargetMode="External"/><Relationship Id="rId14" Type="http://schemas.openxmlformats.org/officeDocument/2006/relationships/hyperlink" Target="https://consensus.app/papers/details/b849eb6c44d459edb9538a0c2352752c/?utm_source=chatgpt" TargetMode="External"/><Relationship Id="rId15" Type="http://schemas.openxmlformats.org/officeDocument/2006/relationships/hyperlink" Target="https://consensus.app/papers/details/4a6236367d1554f08874085a8e9f30b6/?utm_source=chatgpt" TargetMode="External"/><Relationship Id="rId16" Type="http://schemas.openxmlformats.org/officeDocument/2006/relationships/hyperlink" Target="https://grants.nih.gov/grants/guide/pa-files/PA-24-184.html" TargetMode="External"/><Relationship Id="rId17" Type="http://schemas.openxmlformats.org/officeDocument/2006/relationships/hyperlink" Target="https://grants.nih.gov/grants/guide/pa-files/PA-25-306.html" TargetMode="External"/><Relationship Id="rId18" Type="http://schemas.openxmlformats.org/officeDocument/2006/relationships/hyperlink" Target="https://grants.nih.gov/grants/guide/pa-files/PA-25-304.html" TargetMode="External"/><Relationship Id="rId19" Type="http://schemas.openxmlformats.org/officeDocument/2006/relationships/hyperlink" Target="https://grants.nih.gov/grants/guide/pa-files/PA-25-302.html" TargetMode="External"/><Relationship Id="rId20" Type="http://schemas.openxmlformats.org/officeDocument/2006/relationships/hyperlink" Target="https://reporter.nih.gov/project-details/1R01AG100193-01" TargetMode="External"/><Relationship Id="rId21" Type="http://schemas.openxmlformats.org/officeDocument/2006/relationships/hyperlink" Target="https://reporter.nih.gov/project-details/5R01AG030618-12" TargetMode="External"/><Relationship Id="rId22" Type="http://schemas.openxmlformats.org/officeDocument/2006/relationships/hyperlink" Target="https://reporter.nih.gov/project-details/1R01NR022599-01" TargetMode="External"/><Relationship Id="rId23" Type="http://schemas.openxmlformats.org/officeDocument/2006/relationships/hyperlink" Target="https://reporter.nih.gov/project-details/5R01AG073278-05" TargetMode="External"/><Relationship Id="rId24" Type="http://schemas.openxmlformats.org/officeDocument/2006/relationships/hyperlink" Target="https://reporter.nih.gov/project-details/5R00NR019862-05" TargetMode="External"/><Relationship Id="rId25" Type="http://schemas.openxmlformats.org/officeDocument/2006/relationships/hyperlink" Target="https://public.csr.nih.gov/studysections" TargetMode="External"/><Relationship Id="rId26" Type="http://schemas.openxmlformats.org/officeDocument/2006/relationships/hyperlink" Target="https://www.nih.gov/institutes-nih/list-nih-institutes-centers-offices" TargetMode="External"/><Relationship Id="rId27" Type="http://schemas.openxmlformats.org/officeDocument/2006/relationships/hyperlink" Target="https://consensus.app/papers/multicomponent-interventions-for-the-prevention-of-leon-salas-trujillo-martin/53072b8628055a89a56da5f775a0d1be/?utm_source=chatgpt" TargetMode="External"/><Relationship Id="rId28" Type="http://schemas.openxmlformats.org/officeDocument/2006/relationships/hyperlink" Target="https://consensus.app/papers/the-role-of-wearable-sensors-to-monitor-physical-activity-bate-kirk/a2a0d59f88e95f4fb497b0e7124981d6/?utm_source=chatgpt" TargetMode="External"/><Relationship Id="rId29" Type="http://schemas.openxmlformats.org/officeDocument/2006/relationships/hyperlink" Target="https://consensus.app/papers/details/778ee4d755135d8fb1b43946ad582542/?utm_source=chatgpt" TargetMode="External"/><Relationship Id="rId30" Type="http://schemas.openxmlformats.org/officeDocument/2006/relationships/hyperlink" Target="https://consensus.app/papers/details/c01d83fbb2a55c8896f8f358cb702e59/?utm_source=chatgpt" TargetMode="External"/><Relationship Id="rId31" Type="http://schemas.openxmlformats.org/officeDocument/2006/relationships/hyperlink" Target="https://consensus.app/papers/details/cf5123427f5e54a28b0f2caac05ff655/?utm_source=chatgpt" TargetMode="External"/><Relationship Id="rId32" Type="http://schemas.openxmlformats.org/officeDocument/2006/relationships/hyperlink" Target="https://consensus.app/papers/details/7a6d5bdf9aa05ceeb8c7bc3724b32e0a/?utm_source=chatgpt" TargetMode="External"/><Relationship Id="rId33" Type="http://schemas.openxmlformats.org/officeDocument/2006/relationships/hyperlink" Target="https://consensus.app/papers/details/bb30492dd2e559799f4be56ec2b7d4e7/?utm_source=chatgpt" TargetMode="External"/><Relationship Id="rId34" Type="http://schemas.openxmlformats.org/officeDocument/2006/relationships/hyperlink" Target="https://consensus.app/papers/details/475cb90dbb8d5e94b5bd26a97505b339/?utm_source=chatgpt" TargetMode="External"/><Relationship Id="rId35" Type="http://schemas.openxmlformats.org/officeDocument/2006/relationships/hyperlink" Target="https://consensus.app/papers/role-of-wearable-accelerometer-devices-in-delirium-davoudi-manini/d087e64f9d4e55278039846db7dcf674/?utm_source=chatgpt" TargetMode="External"/><Relationship Id="rId36" Type="http://schemas.openxmlformats.org/officeDocument/2006/relationships/hyperlink" Target="https://consensus.app/papers/objectively-measured-sleep-fragmentation-is-associated-jaiswal-kang/61dabab03bfb5ab4a68f237d6c837edc/?utm_source=chatgpt" TargetMode="External"/><Relationship Id="rId37" Type="http://schemas.openxmlformats.org/officeDocument/2006/relationships/hyperlink" Target="https://consensus.app/papers/details/72db9a374c4d5747a27f845ee35e24db/?utm_source=chatgpt" TargetMode="External"/><Relationship Id="rId38" Type="http://schemas.openxmlformats.org/officeDocument/2006/relationships/hyperlink" Target="https://consensus.app/papers/details/8d48dc2010fb5f75b004daa5c609def5/?utm_source=chatgpt" TargetMode="External"/><Relationship Id="rId39" Type="http://schemas.openxmlformats.org/officeDocument/2006/relationships/hyperlink" Target="https://consensus.app/papers/details/3dc92263c730565ca3f591063faef95b/?utm_source=chatg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Research Overview for Nurse Led Wearable Assisted Delirium Prevention</dc:title>
  <dc:subject>NIH funding landscape, research positioning, funded overlap, mechanisms, and audit log</dc:subject>
  <dc:creator>OpenAI</dc:creator>
  <cp:keywords/>
  <dc:description>generated by python-docx</dc:description>
  <cp:lastModifiedBy/>
  <cp:revision>1</cp:revision>
  <dcterms:created xsi:type="dcterms:W3CDTF">2013-12-23T23:15:00Z</dcterms:created>
  <dcterms:modified xsi:type="dcterms:W3CDTF">2013-12-23T23:15:00Z</dcterms:modified>
  <cp:category/>
</cp:coreProperties>
</file>