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39422" w14:textId="77777777" w:rsidR="00282897" w:rsidRDefault="00BE525B">
      <w:pPr>
        <w:spacing w:after="80"/>
        <w:jc w:val="center"/>
      </w:pPr>
      <w:r>
        <w:rPr>
          <w:b/>
          <w:color w:val="D4A62A"/>
          <w:sz w:val="20"/>
        </w:rPr>
        <w:t>COM 210</w:t>
      </w:r>
    </w:p>
    <w:p w14:paraId="3A66DFA0" w14:textId="77777777" w:rsidR="00282897" w:rsidRDefault="00BE525B">
      <w:pPr>
        <w:pStyle w:val="Title"/>
        <w:spacing w:after="40"/>
        <w:jc w:val="center"/>
      </w:pPr>
      <w:r>
        <w:t>Supplementary Reading List</w:t>
      </w:r>
    </w:p>
    <w:p w14:paraId="179DDFF5" w14:textId="77777777" w:rsidR="00282897" w:rsidRDefault="00BE525B">
      <w:pPr>
        <w:spacing w:after="160"/>
        <w:jc w:val="center"/>
      </w:pPr>
      <w:r>
        <w:rPr>
          <w:sz w:val="24"/>
        </w:rPr>
        <w:t>Weeks 1-7 | Information, Misinformation &amp; Digital Credibility</w:t>
      </w:r>
    </w:p>
    <w:tbl>
      <w:tblPr>
        <w:tblW w:w="0" w:type="auto"/>
        <w:jc w:val="center"/>
        <w:tblLayout w:type="fixed"/>
        <w:tblLook w:val="04A0" w:firstRow="1" w:lastRow="0" w:firstColumn="1" w:lastColumn="0" w:noHBand="0" w:noVBand="1"/>
      </w:tblPr>
      <w:tblGrid>
        <w:gridCol w:w="2880"/>
        <w:gridCol w:w="2880"/>
        <w:gridCol w:w="2880"/>
      </w:tblGrid>
      <w:tr w:rsidR="00282897" w14:paraId="077323A2" w14:textId="77777777">
        <w:trPr>
          <w:jc w:val="center"/>
        </w:trPr>
        <w:tc>
          <w:tcPr>
            <w:tcW w:w="2880" w:type="dxa"/>
            <w:shd w:val="clear" w:color="auto" w:fill="EAF1F6"/>
            <w:vAlign w:val="center"/>
          </w:tcPr>
          <w:p w14:paraId="1EA583E3" w14:textId="77777777" w:rsidR="00282897" w:rsidRDefault="00BE525B">
            <w:pPr>
              <w:jc w:val="center"/>
            </w:pPr>
            <w:r>
              <w:rPr>
                <w:b/>
                <w:color w:val="5B6570"/>
                <w:sz w:val="16"/>
              </w:rPr>
              <w:t>Research source</w:t>
            </w:r>
            <w:r>
              <w:rPr>
                <w:b/>
                <w:color w:val="5B6570"/>
                <w:sz w:val="16"/>
              </w:rPr>
              <w:br/>
            </w:r>
            <w:r>
              <w:rPr>
                <w:b/>
                <w:color w:val="28597F"/>
                <w:sz w:val="20"/>
              </w:rPr>
              <w:t>Consensus</w:t>
            </w:r>
          </w:p>
        </w:tc>
        <w:tc>
          <w:tcPr>
            <w:tcW w:w="2880" w:type="dxa"/>
            <w:shd w:val="clear" w:color="auto" w:fill="EAF1F6"/>
            <w:vAlign w:val="center"/>
          </w:tcPr>
          <w:p w14:paraId="4EC152B0" w14:textId="77777777" w:rsidR="00282897" w:rsidRDefault="00BE525B">
            <w:pPr>
              <w:jc w:val="center"/>
            </w:pPr>
            <w:r>
              <w:rPr>
                <w:b/>
                <w:color w:val="5B6570"/>
                <w:sz w:val="16"/>
              </w:rPr>
              <w:t>Publication window</w:t>
            </w:r>
            <w:r>
              <w:rPr>
                <w:b/>
                <w:color w:val="5B6570"/>
                <w:sz w:val="16"/>
              </w:rPr>
              <w:br/>
            </w:r>
            <w:r>
              <w:rPr>
                <w:b/>
                <w:color w:val="28597F"/>
                <w:sz w:val="20"/>
              </w:rPr>
              <w:t>2025-2026</w:t>
            </w:r>
          </w:p>
        </w:tc>
        <w:tc>
          <w:tcPr>
            <w:tcW w:w="2880" w:type="dxa"/>
            <w:shd w:val="clear" w:color="auto" w:fill="EAF1F6"/>
            <w:vAlign w:val="center"/>
          </w:tcPr>
          <w:p w14:paraId="698DFEC1" w14:textId="77777777" w:rsidR="00282897" w:rsidRDefault="00BE525B">
            <w:pPr>
              <w:jc w:val="center"/>
            </w:pPr>
            <w:r>
              <w:rPr>
                <w:b/>
                <w:color w:val="5B6570"/>
                <w:sz w:val="16"/>
              </w:rPr>
              <w:t>Papers selected</w:t>
            </w:r>
            <w:r>
              <w:rPr>
                <w:b/>
                <w:color w:val="5B6570"/>
                <w:sz w:val="16"/>
              </w:rPr>
              <w:br/>
            </w:r>
            <w:r>
              <w:rPr>
                <w:b/>
                <w:color w:val="28597F"/>
                <w:sz w:val="20"/>
              </w:rPr>
              <w:t>15</w:t>
            </w:r>
          </w:p>
        </w:tc>
      </w:tr>
    </w:tbl>
    <w:p w14:paraId="672AB872" w14:textId="77777777" w:rsidR="00282897" w:rsidRDefault="00282897"/>
    <w:p w14:paraId="6CF2C8E6" w14:textId="77777777" w:rsidR="00282897" w:rsidRDefault="00BE525B">
      <w:pPr>
        <w:pStyle w:val="Heading1"/>
      </w:pPr>
      <w:r>
        <w:t>Purpose and Selection Approach</w:t>
      </w:r>
    </w:p>
    <w:p w14:paraId="39121771" w14:textId="77777777" w:rsidR="00282897" w:rsidRDefault="00BE525B">
      <w:pPr>
        <w:spacing w:after="120"/>
      </w:pPr>
      <w:r>
        <w:t>This demonstration reading list supplements the fictional COM 210 course outline for Weeks 1-7. The selections were drawn only from papers returned by Consensus searches conducted in this session, then curated and sequenced in ChatGPT to fit the course topics, learning outcomes, and undergraduate reading profile.</w:t>
      </w:r>
    </w:p>
    <w:p w14:paraId="061A1582" w14:textId="77777777" w:rsidR="00282897" w:rsidRDefault="00BE525B">
      <w:pPr>
        <w:spacing w:after="120"/>
      </w:pPr>
      <w:r>
        <w:rPr>
          <w:b/>
          <w:color w:val="28597F"/>
        </w:rPr>
        <w:t xml:space="preserve">Important scope note: </w:t>
      </w:r>
      <w:r>
        <w:t>The demonstration search window was intentionally limited to 2025-2026. That makes the list useful for showcasing recent research, but it does not replace older foundational or canonical readings. A production syllabus should add foundational works after instructor review.</w:t>
      </w:r>
    </w:p>
    <w:p w14:paraId="31B7CC55" w14:textId="77777777" w:rsidR="00282897" w:rsidRDefault="00BE525B">
      <w:pPr>
        <w:spacing w:after="160"/>
      </w:pPr>
      <w:r>
        <w:rPr>
          <w:b/>
          <w:color w:val="28597F"/>
        </w:rPr>
        <w:t xml:space="preserve">Access note: </w:t>
      </w:r>
      <w:r>
        <w:t>The Consensus records used here did not consistently provide paywall or page-length status. The instructor should verify access, length, accessibility, and final appropriateness before assigning any reading.</w:t>
      </w:r>
    </w:p>
    <w:p w14:paraId="7326A3E1" w14:textId="77777777" w:rsidR="00282897" w:rsidRDefault="00BE525B">
      <w:pPr>
        <w:pStyle w:val="Heading1"/>
      </w:pPr>
      <w:r>
        <w:t>Course Learning Outcomes Used for Curation</w:t>
      </w:r>
    </w:p>
    <w:p w14:paraId="2C69E820" w14:textId="77777777" w:rsidR="00282897" w:rsidRDefault="00BE525B">
      <w:pPr>
        <w:pStyle w:val="ListBullet"/>
        <w:spacing w:after="40"/>
      </w:pPr>
      <w:r>
        <w:t>Distinguish misinformation, disinformation, malinformation, satire, opinion, and low-quality information.</w:t>
      </w:r>
    </w:p>
    <w:p w14:paraId="75FAD0FD" w14:textId="77777777" w:rsidR="00282897" w:rsidRDefault="00BE525B">
      <w:pPr>
        <w:pStyle w:val="ListBullet"/>
        <w:spacing w:after="40"/>
      </w:pPr>
      <w:r>
        <w:t>Evaluate online claims using evidence-based source and credibility assessment strategies.</w:t>
      </w:r>
    </w:p>
    <w:p w14:paraId="3230710C" w14:textId="77777777" w:rsidR="00282897" w:rsidRDefault="00BE525B">
      <w:pPr>
        <w:pStyle w:val="ListBullet"/>
        <w:spacing w:after="40"/>
      </w:pPr>
      <w:r>
        <w:t>Explain cognitive, social, and technological factors that influence belief and sharing.</w:t>
      </w:r>
    </w:p>
    <w:p w14:paraId="076DAC02" w14:textId="77777777" w:rsidR="00282897" w:rsidRDefault="00BE525B">
      <w:pPr>
        <w:pStyle w:val="ListBullet"/>
        <w:spacing w:after="40"/>
      </w:pPr>
      <w:r>
        <w:t>Compare the effectiveness and limitations of debunking, prebunking, fact-checking, and media-literacy interventions.</w:t>
      </w:r>
    </w:p>
    <w:p w14:paraId="156C899E" w14:textId="77777777" w:rsidR="00282897" w:rsidRDefault="00BE525B">
      <w:pPr>
        <w:pStyle w:val="ListBullet"/>
        <w:spacing w:after="40"/>
      </w:pPr>
      <w:r>
        <w:t>Analyze how algorithms, social platforms, visual media, and generative AI shape information environments.</w:t>
      </w:r>
    </w:p>
    <w:p w14:paraId="7FE83169" w14:textId="77777777" w:rsidR="00282897" w:rsidRDefault="00BE525B">
      <w:pPr>
        <w:pStyle w:val="ListBullet"/>
        <w:spacing w:after="40"/>
      </w:pPr>
      <w:r>
        <w:t>Synthesize research evidence and communicate recommendations for a defined audience.</w:t>
      </w:r>
    </w:p>
    <w:p w14:paraId="09BC8022" w14:textId="77777777" w:rsidR="00282897" w:rsidRDefault="00BE525B">
      <w:r>
        <w:br w:type="page"/>
      </w:r>
    </w:p>
    <w:p w14:paraId="1F8C5CEA" w14:textId="77777777" w:rsidR="00282897" w:rsidRDefault="00BE525B">
      <w:pPr>
        <w:pStyle w:val="Heading1"/>
      </w:pPr>
      <w:r>
        <w:lastRenderedPageBreak/>
        <w:t>Week 1: The Information Disorder Landscape</w:t>
      </w:r>
    </w:p>
    <w:p w14:paraId="66D53833" w14:textId="77777777" w:rsidR="00282897" w:rsidRDefault="00BE525B">
      <w:pPr>
        <w:spacing w:after="100"/>
      </w:pPr>
      <w:r>
        <w:rPr>
          <w:b/>
          <w:color w:val="5B6570"/>
        </w:rPr>
        <w:t xml:space="preserve">Course focus: </w:t>
      </w:r>
      <w:r>
        <w:t>Core terminology; why misinformation matters; evidence vs. assertion.</w:t>
      </w:r>
    </w:p>
    <w:p w14:paraId="1CD9E967" w14:textId="77777777" w:rsidR="00282897" w:rsidRDefault="00BE525B">
      <w:pPr>
        <w:pStyle w:val="ListNumber"/>
        <w:keepNext/>
        <w:spacing w:before="100" w:after="40"/>
      </w:pPr>
      <w:hyperlink r:id="rId8">
        <w:r>
          <w:rPr>
            <w:b/>
            <w:color w:val="28597F"/>
          </w:rPr>
          <w:t>A Critical Review of the anglophone and francophone Mis/disinformation Research: Towards a conceptual history. Part I</w:t>
        </w:r>
      </w:hyperlink>
    </w:p>
    <w:p w14:paraId="6EDBC4F8" w14:textId="77777777" w:rsidR="00282897" w:rsidRDefault="00BE525B">
      <w:pPr>
        <w:keepNext/>
        <w:spacing w:after="60"/>
        <w:ind w:left="360"/>
      </w:pPr>
      <w:r>
        <w:rPr>
          <w:i/>
          <w:color w:val="5B6570"/>
          <w:sz w:val="19"/>
        </w:rPr>
        <w:t>Jayson Harsin (2025). Questions de communication.</w:t>
      </w:r>
      <w:r>
        <w:rPr>
          <w:color w:val="5B6570"/>
          <w:sz w:val="19"/>
        </w:rPr>
        <w:t xml:space="preserve">  DOI: 10.4000/15b16  |  Consensus citation count at retrieval: 1</w:t>
      </w:r>
    </w:p>
    <w:p w14:paraId="002052E9" w14:textId="77777777" w:rsidR="00282897" w:rsidRDefault="00BE525B">
      <w:pPr>
        <w:keepNext/>
        <w:spacing w:after="60"/>
        <w:ind w:left="360"/>
      </w:pPr>
      <w:r>
        <w:rPr>
          <w:b/>
        </w:rPr>
        <w:t xml:space="preserve">Why this reading: </w:t>
      </w:r>
      <w:r>
        <w:t>A systematic conceptual history that questions how cleanly the now-common labels misinformation, disinformation, and information disorder developed. It is useful at the start of the course because it makes terminology itself an object of critical inquiry rather than treating definitions as settled.</w:t>
      </w:r>
    </w:p>
    <w:p w14:paraId="73196F03" w14:textId="77777777" w:rsidR="00282897" w:rsidRDefault="00BE525B">
      <w:pPr>
        <w:keepLines/>
        <w:spacing w:after="160"/>
        <w:ind w:left="360"/>
      </w:pPr>
      <w:r>
        <w:rPr>
          <w:b/>
        </w:rPr>
        <w:t xml:space="preserve">Discussion question: </w:t>
      </w:r>
      <w:r>
        <w:rPr>
          <w:i/>
        </w:rPr>
        <w:t>If the field’s key terms emerged through contested histories rather than a single stable framework, what problems arise when researchers, platforms, or governments operationalize them as if they were unambiguous?</w:t>
      </w:r>
    </w:p>
    <w:p w14:paraId="31C4B30A" w14:textId="77777777" w:rsidR="00282897" w:rsidRDefault="00BE525B">
      <w:pPr>
        <w:pStyle w:val="ListNumber"/>
        <w:keepNext/>
        <w:spacing w:before="100" w:after="40"/>
      </w:pPr>
      <w:hyperlink r:id="rId9">
        <w:r>
          <w:rPr>
            <w:b/>
            <w:color w:val="28597F"/>
          </w:rPr>
          <w:t>Disinformation: History, Drivers, and Countermeasures</w:t>
        </w:r>
      </w:hyperlink>
    </w:p>
    <w:p w14:paraId="62154C8A" w14:textId="77777777" w:rsidR="00282897" w:rsidRDefault="00BE525B">
      <w:pPr>
        <w:keepNext/>
        <w:spacing w:after="60"/>
        <w:ind w:left="360"/>
      </w:pPr>
      <w:r>
        <w:rPr>
          <w:i/>
          <w:color w:val="5B6570"/>
          <w:sz w:val="19"/>
        </w:rPr>
        <w:t>Nicola Bruno &amp; Stefano Moriggi (2025). Encyclopedia.</w:t>
      </w:r>
      <w:r>
        <w:rPr>
          <w:color w:val="5B6570"/>
          <w:sz w:val="19"/>
        </w:rPr>
        <w:t xml:space="preserve">  DOI: 10.3390/encyclopedia5040211  |  Consensus citation count at retrieval: 1</w:t>
      </w:r>
    </w:p>
    <w:p w14:paraId="66263607" w14:textId="77777777" w:rsidR="00282897" w:rsidRDefault="00BE525B">
      <w:pPr>
        <w:keepNext/>
        <w:spacing w:after="60"/>
        <w:ind w:left="360"/>
      </w:pPr>
      <w:r>
        <w:rPr>
          <w:b/>
        </w:rPr>
        <w:t xml:space="preserve">Why this reading: </w:t>
      </w:r>
      <w:r>
        <w:t>A broad conceptual overview that distinguishes disinformation from misinformation and malinformation while tracing historical drivers, digital amplification, motivations, and major countermeasures. It gives students a clear organizing map to compare with the more critical conceptual history above.</w:t>
      </w:r>
    </w:p>
    <w:p w14:paraId="62F399F6" w14:textId="77777777" w:rsidR="00282897" w:rsidRDefault="00BE525B">
      <w:pPr>
        <w:keepLines/>
        <w:spacing w:after="160"/>
        <w:ind w:left="360"/>
      </w:pPr>
      <w:r>
        <w:rPr>
          <w:b/>
        </w:rPr>
        <w:t xml:space="preserve">Discussion question: </w:t>
      </w:r>
      <w:r>
        <w:rPr>
          <w:i/>
        </w:rPr>
        <w:t>Which distinction matters most for deciding how to respond to problematic information: whether a claim is false, whether the communicator intended deception, or whether the information causes harm? Defend your choice.</w:t>
      </w:r>
    </w:p>
    <w:p w14:paraId="36665007" w14:textId="77777777" w:rsidR="00282897" w:rsidRDefault="00BE525B">
      <w:pPr>
        <w:pStyle w:val="Heading1"/>
      </w:pPr>
      <w:r>
        <w:t>Week 2: Credibility, Expertise &amp; Authority</w:t>
      </w:r>
    </w:p>
    <w:p w14:paraId="0E18F855" w14:textId="77777777" w:rsidR="00282897" w:rsidRDefault="00BE525B">
      <w:pPr>
        <w:spacing w:after="100"/>
      </w:pPr>
      <w:r>
        <w:rPr>
          <w:b/>
          <w:color w:val="5B6570"/>
        </w:rPr>
        <w:t xml:space="preserve">Course focus: </w:t>
      </w:r>
      <w:r>
        <w:t>How people judge sources; expertise, trust, and institutional authority.</w:t>
      </w:r>
    </w:p>
    <w:p w14:paraId="6EFB9BE9" w14:textId="77777777" w:rsidR="00282897" w:rsidRDefault="00BE525B">
      <w:pPr>
        <w:pStyle w:val="ListNumber"/>
        <w:keepNext/>
        <w:spacing w:before="100" w:after="40"/>
      </w:pPr>
      <w:hyperlink r:id="rId10">
        <w:r>
          <w:rPr>
            <w:b/>
            <w:color w:val="28597F"/>
          </w:rPr>
          <w:t>The effect of source expertise on the persuasiveness and sharing of health information on social media: A systematic review</w:t>
        </w:r>
      </w:hyperlink>
    </w:p>
    <w:p w14:paraId="45991AFA" w14:textId="77777777" w:rsidR="00282897" w:rsidRDefault="00BE525B">
      <w:pPr>
        <w:keepNext/>
        <w:spacing w:after="60"/>
        <w:ind w:left="360"/>
      </w:pPr>
      <w:r>
        <w:rPr>
          <w:i/>
          <w:color w:val="5B6570"/>
          <w:sz w:val="19"/>
        </w:rPr>
        <w:t>B. Simmonds, K. Ransom, Emily Mullins &amp; Rachel G. Stephens (2026). Psychonomic Bulletin &amp; Review.</w:t>
      </w:r>
      <w:r>
        <w:rPr>
          <w:color w:val="5B6570"/>
          <w:sz w:val="19"/>
        </w:rPr>
        <w:t xml:space="preserve">  DOI: 10.3758/s13423-026-02943-2  |  Consensus citation count at retrieval: 0</w:t>
      </w:r>
    </w:p>
    <w:p w14:paraId="1DACC0DD" w14:textId="77777777" w:rsidR="00282897" w:rsidRDefault="00BE525B">
      <w:pPr>
        <w:keepNext/>
        <w:spacing w:after="60"/>
        <w:ind w:left="360"/>
      </w:pPr>
      <w:r>
        <w:rPr>
          <w:b/>
        </w:rPr>
        <w:t xml:space="preserve">Why this reading: </w:t>
      </w:r>
      <w:r>
        <w:t>This systematic review and meta-analysis finds that expert sources are only marginally more persuasive than nonexperts in online health contexts, with effects shaped by other credibility cues. It challenges the intuitive assumption that simply attaching expert credentials is enough to secure trust.</w:t>
      </w:r>
    </w:p>
    <w:p w14:paraId="076FA22D" w14:textId="77777777" w:rsidR="00282897" w:rsidRDefault="00BE525B">
      <w:pPr>
        <w:keepLines/>
        <w:spacing w:after="160"/>
        <w:ind w:left="360"/>
      </w:pPr>
      <w:r>
        <w:rPr>
          <w:b/>
        </w:rPr>
        <w:t xml:space="preserve">Discussion question: </w:t>
      </w:r>
      <w:r>
        <w:rPr>
          <w:i/>
        </w:rPr>
        <w:t>If expertise alone produces only a small persuasive advantage online, what additional cues should a student examine before deciding that a source deserves trust?</w:t>
      </w:r>
    </w:p>
    <w:p w14:paraId="60AD3B30" w14:textId="77777777" w:rsidR="00282897" w:rsidRDefault="00BE525B">
      <w:pPr>
        <w:pStyle w:val="ListNumber"/>
        <w:keepNext/>
        <w:spacing w:before="100" w:after="40"/>
      </w:pPr>
      <w:hyperlink r:id="rId11">
        <w:r>
          <w:rPr>
            <w:b/>
            <w:color w:val="28597F"/>
          </w:rPr>
          <w:t>Evaluating online nutrition information: a scoping review of young adults’ source preferences and criteria for credibility and trustworthiness</w:t>
        </w:r>
      </w:hyperlink>
    </w:p>
    <w:p w14:paraId="70C48C08" w14:textId="77777777" w:rsidR="00282897" w:rsidRDefault="00BE525B">
      <w:pPr>
        <w:keepNext/>
        <w:spacing w:after="60"/>
        <w:ind w:left="360"/>
      </w:pPr>
      <w:r>
        <w:rPr>
          <w:i/>
          <w:color w:val="5B6570"/>
          <w:sz w:val="19"/>
        </w:rPr>
        <w:t>Cassandra A. Omane &amp; S. Forberger (2026). Frontiers in Digital Health.</w:t>
      </w:r>
      <w:r>
        <w:rPr>
          <w:color w:val="5B6570"/>
          <w:sz w:val="19"/>
        </w:rPr>
        <w:t xml:space="preserve">  DOI: 10.3389/fdgth.2026.1784563  |  Consensus citation count at retrieval: 0</w:t>
      </w:r>
    </w:p>
    <w:p w14:paraId="3F3D08D1" w14:textId="77777777" w:rsidR="00282897" w:rsidRDefault="00BE525B">
      <w:pPr>
        <w:keepNext/>
        <w:spacing w:after="60"/>
        <w:ind w:left="360"/>
      </w:pPr>
      <w:r>
        <w:rPr>
          <w:b/>
        </w:rPr>
        <w:t xml:space="preserve">Why this reading: </w:t>
      </w:r>
      <w:r>
        <w:t>A scoping review of 48 papers identifies dozens of factors shaping young adults’ trust judgments, including clarity, prior knowledge, education, author expertise, context, and platform design. The review also highlights major gaps in how demographic and cultural differences are reported.</w:t>
      </w:r>
    </w:p>
    <w:p w14:paraId="238801C9" w14:textId="77777777" w:rsidR="00282897" w:rsidRDefault="00BE525B">
      <w:pPr>
        <w:keepLines/>
        <w:spacing w:after="160"/>
        <w:ind w:left="360"/>
      </w:pPr>
      <w:r>
        <w:rPr>
          <w:b/>
        </w:rPr>
        <w:t xml:space="preserve">Discussion question: </w:t>
      </w:r>
      <w:r>
        <w:rPr>
          <w:i/>
        </w:rPr>
        <w:t>How might a credibility checklist oversimplify the way real people judge digital information, and which contextual factor from this review would you most want to add to a classroom evaluation strategy?</w:t>
      </w:r>
    </w:p>
    <w:p w14:paraId="33B936EA" w14:textId="77777777" w:rsidR="00282897" w:rsidRDefault="00BE525B">
      <w:pPr>
        <w:pStyle w:val="Heading1"/>
      </w:pPr>
      <w:r>
        <w:t>Week 3: Cognition, Memory &amp; Belief</w:t>
      </w:r>
    </w:p>
    <w:p w14:paraId="637C8001" w14:textId="77777777" w:rsidR="00282897" w:rsidRDefault="00BE525B">
      <w:pPr>
        <w:spacing w:after="100"/>
      </w:pPr>
      <w:r>
        <w:rPr>
          <w:b/>
          <w:color w:val="5B6570"/>
        </w:rPr>
        <w:t xml:space="preserve">Course focus: </w:t>
      </w:r>
      <w:r>
        <w:t>Confirmation bias, familiarity, motivated reasoning, and the continued influence of misinformation.</w:t>
      </w:r>
    </w:p>
    <w:p w14:paraId="3A478DC4" w14:textId="77777777" w:rsidR="00282897" w:rsidRDefault="00BE525B">
      <w:pPr>
        <w:pStyle w:val="ListNumber"/>
        <w:keepNext/>
        <w:spacing w:before="100" w:after="40"/>
      </w:pPr>
      <w:hyperlink r:id="rId12">
        <w:r>
          <w:rPr>
            <w:b/>
            <w:color w:val="28597F"/>
          </w:rPr>
          <w:t>Misinformation: Current directions and new insights</w:t>
        </w:r>
      </w:hyperlink>
    </w:p>
    <w:p w14:paraId="66166527" w14:textId="77777777" w:rsidR="00282897" w:rsidRDefault="00BE525B">
      <w:pPr>
        <w:keepNext/>
        <w:spacing w:after="60"/>
        <w:ind w:left="360"/>
      </w:pPr>
      <w:r>
        <w:rPr>
          <w:i/>
          <w:color w:val="5B6570"/>
          <w:sz w:val="19"/>
        </w:rPr>
        <w:t>Ullrich K. H. Ecker (2025). Journal of Applied Research in Memory and Cognition.</w:t>
      </w:r>
      <w:r>
        <w:rPr>
          <w:color w:val="5B6570"/>
          <w:sz w:val="19"/>
        </w:rPr>
        <w:t xml:space="preserve">  DOI: 10.1037/mac0000229  |  Consensus citation count at retrieval: 2</w:t>
      </w:r>
    </w:p>
    <w:p w14:paraId="043377EA" w14:textId="77777777" w:rsidR="00282897" w:rsidRDefault="00BE525B">
      <w:pPr>
        <w:keepNext/>
        <w:spacing w:after="60"/>
        <w:ind w:left="360"/>
      </w:pPr>
      <w:r>
        <w:rPr>
          <w:b/>
        </w:rPr>
        <w:t xml:space="preserve">Why this reading: </w:t>
      </w:r>
      <w:r>
        <w:t>A concise synthesis of contemporary misinformation research covering memory, the illusory-truth effect, intuitive versus motivated processing, contextual biases, and intervention research. It is a strong orienting reading for connecting multiple psychological mechanisms without reducing misinformation susceptibility to a single bias.</w:t>
      </w:r>
    </w:p>
    <w:p w14:paraId="458C1151" w14:textId="77777777" w:rsidR="00282897" w:rsidRDefault="00BE525B">
      <w:pPr>
        <w:keepLines/>
        <w:spacing w:after="160"/>
        <w:ind w:left="360"/>
      </w:pPr>
      <w:r>
        <w:rPr>
          <w:b/>
        </w:rPr>
        <w:t xml:space="preserve">Discussion question: </w:t>
      </w:r>
      <w:r>
        <w:rPr>
          <w:i/>
        </w:rPr>
        <w:t>Why is it potentially misleading to explain misinformation belief simply as “people being irrational,” and what does this synthesis suggest researchers should examine instead?</w:t>
      </w:r>
    </w:p>
    <w:p w14:paraId="29812AF1" w14:textId="77777777" w:rsidR="00282897" w:rsidRDefault="00BE525B">
      <w:pPr>
        <w:pStyle w:val="ListNumber"/>
        <w:keepNext/>
        <w:spacing w:before="100" w:after="40"/>
      </w:pPr>
      <w:hyperlink r:id="rId13">
        <w:r>
          <w:rPr>
            <w:b/>
            <w:color w:val="28597F"/>
          </w:rPr>
          <w:t>Who Falls for Misinformation and Why?</w:t>
        </w:r>
      </w:hyperlink>
    </w:p>
    <w:p w14:paraId="5B592336" w14:textId="77777777" w:rsidR="00282897" w:rsidRDefault="00BE525B">
      <w:pPr>
        <w:keepNext/>
        <w:spacing w:after="60"/>
        <w:ind w:left="360"/>
      </w:pPr>
      <w:r>
        <w:rPr>
          <w:i/>
          <w:color w:val="5B6570"/>
          <w:sz w:val="19"/>
        </w:rPr>
        <w:t>Tyler J. Hubeny, Lea S. Nahon, Nyx L. Ng &amp; Bertram Gawronski (2025). Personality &amp; Social Psychology Bulletin.</w:t>
      </w:r>
      <w:r>
        <w:rPr>
          <w:color w:val="5B6570"/>
          <w:sz w:val="19"/>
        </w:rPr>
        <w:t xml:space="preserve">  DOI: 10.1177/01461672251328800  |  Consensus citation count at retrieval: 10</w:t>
      </w:r>
    </w:p>
    <w:p w14:paraId="05A8A949" w14:textId="77777777" w:rsidR="00282897" w:rsidRDefault="00BE525B">
      <w:pPr>
        <w:keepNext/>
        <w:spacing w:after="60"/>
        <w:ind w:left="360"/>
      </w:pPr>
      <w:r>
        <w:rPr>
          <w:b/>
        </w:rPr>
        <w:t xml:space="preserve">Why this reading: </w:t>
      </w:r>
      <w:r>
        <w:t>Across two studies, the authors use signal detection theory to separate truth sensitivity, acceptance thresholds, and myside bias. Higher cognitive reflection and actively open-minded thinking were associated with better truth sensitivity, while several other relationships were less robust than common narratives might suggest.</w:t>
      </w:r>
    </w:p>
    <w:p w14:paraId="327300C1" w14:textId="77777777" w:rsidR="00282897" w:rsidRDefault="00BE525B">
      <w:pPr>
        <w:keepLines/>
        <w:spacing w:after="160"/>
        <w:ind w:left="360"/>
      </w:pPr>
      <w:r>
        <w:rPr>
          <w:b/>
        </w:rPr>
        <w:t xml:space="preserve">Discussion question: </w:t>
      </w:r>
      <w:r>
        <w:rPr>
          <w:i/>
        </w:rPr>
        <w:t>What is gained by separating truth sensitivity, willingness to accept claims, and myside bias instead of treating “susceptibility to misinformation” as one trait?</w:t>
      </w:r>
    </w:p>
    <w:p w14:paraId="00F0BE8A" w14:textId="77777777" w:rsidR="00282897" w:rsidRDefault="00BE525B">
      <w:pPr>
        <w:pStyle w:val="Heading1"/>
      </w:pPr>
      <w:r>
        <w:t>Week 4: Social Influence &amp; Sharing</w:t>
      </w:r>
    </w:p>
    <w:p w14:paraId="2ECA601E" w14:textId="77777777" w:rsidR="00282897" w:rsidRDefault="00BE525B">
      <w:pPr>
        <w:spacing w:after="100"/>
      </w:pPr>
      <w:r>
        <w:rPr>
          <w:b/>
          <w:color w:val="5B6570"/>
        </w:rPr>
        <w:t xml:space="preserve">Course focus: </w:t>
      </w:r>
      <w:r>
        <w:t>Identity, emotion, social norms, virality, and why people share questionable content.</w:t>
      </w:r>
    </w:p>
    <w:p w14:paraId="24D62A48" w14:textId="77777777" w:rsidR="00282897" w:rsidRDefault="00BE525B">
      <w:pPr>
        <w:pStyle w:val="ListNumber"/>
        <w:keepNext/>
        <w:spacing w:before="100" w:after="40"/>
      </w:pPr>
      <w:hyperlink r:id="rId14">
        <w:r>
          <w:rPr>
            <w:b/>
            <w:color w:val="28597F"/>
          </w:rPr>
          <w:t>Disinformation as Cultural Narrative: Conceptualizing Disinformation as Cross-Platform, Identity-Affirming, Cathartic Stories</w:t>
        </w:r>
      </w:hyperlink>
    </w:p>
    <w:p w14:paraId="4720C0CB" w14:textId="77777777" w:rsidR="00282897" w:rsidRDefault="00BE525B">
      <w:pPr>
        <w:keepNext/>
        <w:spacing w:after="60"/>
        <w:ind w:left="360"/>
      </w:pPr>
      <w:r>
        <w:rPr>
          <w:i/>
          <w:color w:val="5B6570"/>
          <w:sz w:val="19"/>
        </w:rPr>
        <w:t>Alice E. Marwick, Elaine Schnabel, Shannon C. McGregor &amp; Carolyn E. Schmitt (2026). Political Communication.</w:t>
      </w:r>
      <w:r>
        <w:rPr>
          <w:color w:val="5B6570"/>
          <w:sz w:val="19"/>
        </w:rPr>
        <w:t xml:space="preserve">  DOI: 10.1080/10584609.2026.2644198  |  Consensus citation count at retrieval: 1</w:t>
      </w:r>
    </w:p>
    <w:p w14:paraId="4E910985" w14:textId="77777777" w:rsidR="00282897" w:rsidRDefault="00BE525B">
      <w:pPr>
        <w:keepNext/>
        <w:spacing w:after="60"/>
        <w:ind w:left="360"/>
      </w:pPr>
      <w:r>
        <w:rPr>
          <w:b/>
        </w:rPr>
        <w:t xml:space="preserve">Why this reading: </w:t>
      </w:r>
      <w:r>
        <w:t>Using cross-platform case studies, this paper argues that successful disinformation operates not merely as isolated false facts but as emotionally resonant, identity-affirming narratives. That framing helps students see why factual correction may be insufficient when misleading content also serves cultural or group functions.</w:t>
      </w:r>
    </w:p>
    <w:p w14:paraId="2D270657" w14:textId="77777777" w:rsidR="00282897" w:rsidRDefault="00BE525B">
      <w:pPr>
        <w:keepLines/>
        <w:spacing w:after="160"/>
        <w:ind w:left="360"/>
      </w:pPr>
      <w:r>
        <w:rPr>
          <w:b/>
        </w:rPr>
        <w:t xml:space="preserve">Discussion question: </w:t>
      </w:r>
      <w:r>
        <w:rPr>
          <w:i/>
        </w:rPr>
        <w:t>If a false narrative provides identity affirmation or emotional catharsis, why might presenting accurate facts fail to dislodge it? What kind of response would address both factual and social dimensions?</w:t>
      </w:r>
    </w:p>
    <w:p w14:paraId="4D2AF4F9" w14:textId="77777777" w:rsidR="00282897" w:rsidRDefault="00BE525B">
      <w:pPr>
        <w:pStyle w:val="ListNumber"/>
        <w:keepNext/>
        <w:spacing w:before="100" w:after="40"/>
      </w:pPr>
      <w:hyperlink r:id="rId15">
        <w:r>
          <w:rPr>
            <w:b/>
            <w:color w:val="28597F"/>
          </w:rPr>
          <w:t>Social identity shapes antecedents and functional outcomes of moral emotion expression</w:t>
        </w:r>
      </w:hyperlink>
    </w:p>
    <w:p w14:paraId="0404C53C" w14:textId="77777777" w:rsidR="00282897" w:rsidRDefault="00BE525B">
      <w:pPr>
        <w:keepNext/>
        <w:spacing w:after="60"/>
        <w:ind w:left="360"/>
      </w:pPr>
      <w:r>
        <w:rPr>
          <w:i/>
          <w:color w:val="5B6570"/>
          <w:sz w:val="19"/>
        </w:rPr>
        <w:t>William J. Brady &amp; Jay J. Van Bavel (2025). Journal of Experimental Psychology: General.</w:t>
      </w:r>
      <w:r>
        <w:rPr>
          <w:color w:val="5B6570"/>
          <w:sz w:val="19"/>
        </w:rPr>
        <w:t xml:space="preserve">  DOI: 10.1037/xge0001753  |  Consensus citation count at retrieval: 11</w:t>
      </w:r>
    </w:p>
    <w:p w14:paraId="460F3AEE" w14:textId="77777777" w:rsidR="00282897" w:rsidRDefault="00BE525B">
      <w:pPr>
        <w:keepNext/>
        <w:spacing w:after="60"/>
        <w:ind w:left="360"/>
      </w:pPr>
      <w:r>
        <w:rPr>
          <w:b/>
        </w:rPr>
        <w:t xml:space="preserve">Why this reading: </w:t>
      </w:r>
      <w:r>
        <w:t>Across five preregistered experiments, moral-emotional language increased intentions to share political messages, while partisan identity and ideological extremity predicted sharing of such content. The study gives students causal evidence for how emotion and identity can shape online sharing behavior.</w:t>
      </w:r>
    </w:p>
    <w:p w14:paraId="515495C6" w14:textId="77777777" w:rsidR="00282897" w:rsidRDefault="00BE525B">
      <w:pPr>
        <w:keepLines/>
        <w:spacing w:after="160"/>
        <w:ind w:left="360"/>
      </w:pPr>
      <w:r>
        <w:rPr>
          <w:b/>
        </w:rPr>
        <w:t xml:space="preserve">Discussion question: </w:t>
      </w:r>
      <w:r>
        <w:rPr>
          <w:i/>
        </w:rPr>
        <w:t>How can sharing a moral-emotional message function simultaneously as communication about an issue and as a signal of group identity? What does that mean for attempts to reduce misinformation sharing?</w:t>
      </w:r>
    </w:p>
    <w:p w14:paraId="3502BA8D" w14:textId="77777777" w:rsidR="00282897" w:rsidRDefault="00BE525B">
      <w:pPr>
        <w:pStyle w:val="Heading1"/>
      </w:pPr>
      <w:r>
        <w:t>Week 5: Platforms, Algorithms &amp; Attention</w:t>
      </w:r>
    </w:p>
    <w:p w14:paraId="44BB8319" w14:textId="77777777" w:rsidR="00282897" w:rsidRDefault="00BE525B">
      <w:pPr>
        <w:spacing w:after="100"/>
      </w:pPr>
      <w:r>
        <w:rPr>
          <w:b/>
          <w:color w:val="5B6570"/>
        </w:rPr>
        <w:t xml:space="preserve">Course focus: </w:t>
      </w:r>
      <w:r>
        <w:t>Ranking systems, engagement incentives, echo chambers, selective exposure, and misinformation exposure.</w:t>
      </w:r>
    </w:p>
    <w:p w14:paraId="68A121AF" w14:textId="77777777" w:rsidR="00282897" w:rsidRDefault="00BE525B">
      <w:pPr>
        <w:pStyle w:val="ListNumber"/>
        <w:keepNext/>
        <w:spacing w:before="100" w:after="40"/>
      </w:pPr>
      <w:hyperlink r:id="rId16">
        <w:r>
          <w:rPr>
            <w:b/>
            <w:color w:val="28597F"/>
          </w:rPr>
          <w:t>Trap of Social Media Algorithms: A Systematic Review of Research on Filter Bubbles, Echo Chambers, and Their Impact on Youth</w:t>
        </w:r>
      </w:hyperlink>
    </w:p>
    <w:p w14:paraId="08961AFB" w14:textId="77777777" w:rsidR="00282897" w:rsidRDefault="00BE525B">
      <w:pPr>
        <w:keepNext/>
        <w:spacing w:after="60"/>
        <w:ind w:left="360"/>
      </w:pPr>
      <w:r>
        <w:rPr>
          <w:i/>
          <w:color w:val="5B6570"/>
          <w:sz w:val="19"/>
        </w:rPr>
        <w:t>M. Ahmmad, Khurram Shahzad, Abid Iqbal &amp; Mujahid Latif (2025). Societies.</w:t>
      </w:r>
      <w:r>
        <w:rPr>
          <w:color w:val="5B6570"/>
          <w:sz w:val="19"/>
        </w:rPr>
        <w:t xml:space="preserve">  DOI: 10.3390/soc15110301  |  Consensus citation count at retrieval: 32</w:t>
      </w:r>
    </w:p>
    <w:p w14:paraId="0195D1F3" w14:textId="77777777" w:rsidR="00282897" w:rsidRDefault="00BE525B">
      <w:pPr>
        <w:keepNext/>
        <w:spacing w:after="60"/>
        <w:ind w:left="360"/>
      </w:pPr>
      <w:r>
        <w:rPr>
          <w:b/>
        </w:rPr>
        <w:t xml:space="preserve">Why this reading: </w:t>
      </w:r>
      <w:r>
        <w:t>This systematic review synthesizes 30 studies on algorithmic bias, filter bubbles, and echo chambers among youth. It reports recurring evidence of ideological homogeneity and constrained user agency while also stressing geographic bias, methodological fragmentation, and ambiguity in how core concepts are defined.</w:t>
      </w:r>
    </w:p>
    <w:p w14:paraId="6BA404AE" w14:textId="77777777" w:rsidR="00282897" w:rsidRDefault="00BE525B">
      <w:pPr>
        <w:keepLines/>
        <w:spacing w:after="160"/>
        <w:ind w:left="360"/>
      </w:pPr>
      <w:r>
        <w:rPr>
          <w:b/>
        </w:rPr>
        <w:t xml:space="preserve">Discussion question: </w:t>
      </w:r>
      <w:r>
        <w:rPr>
          <w:i/>
        </w:rPr>
        <w:t>Which claim about echo chambers can this review support confidently, and which claim should remain tentative because of the limitations the authors identify?</w:t>
      </w:r>
    </w:p>
    <w:p w14:paraId="0E548A44" w14:textId="77777777" w:rsidR="00282897" w:rsidRDefault="00BE525B">
      <w:pPr>
        <w:pStyle w:val="ListNumber"/>
        <w:keepNext/>
        <w:spacing w:before="100" w:after="40"/>
      </w:pPr>
      <w:hyperlink r:id="rId17">
        <w:r>
          <w:rPr>
            <w:b/>
            <w:color w:val="28597F"/>
          </w:rPr>
          <w:t>A Comparative Study of News Exposure and Consumption On and Off Facebook</w:t>
        </w:r>
      </w:hyperlink>
    </w:p>
    <w:p w14:paraId="5C4905E1" w14:textId="77777777" w:rsidR="00282897" w:rsidRDefault="00BE525B">
      <w:pPr>
        <w:keepNext/>
        <w:spacing w:after="60"/>
        <w:ind w:left="360"/>
      </w:pPr>
      <w:r>
        <w:rPr>
          <w:i/>
          <w:color w:val="5B6570"/>
          <w:sz w:val="19"/>
        </w:rPr>
        <w:t>Nardjes Amieur, Salim Chouaki, Oana Goga &amp; Béatrice Roussillon (2025). Proceedings of the ACM on Human-Computer Interaction.</w:t>
      </w:r>
      <w:r>
        <w:rPr>
          <w:color w:val="5B6570"/>
          <w:sz w:val="19"/>
        </w:rPr>
        <w:t xml:space="preserve">  DOI: 10.1145/3757540  |  Consensus citation count at retrieval: 1</w:t>
      </w:r>
    </w:p>
    <w:p w14:paraId="787364E6" w14:textId="77777777" w:rsidR="00282897" w:rsidRDefault="00BE525B">
      <w:pPr>
        <w:keepNext/>
        <w:spacing w:after="60"/>
        <w:ind w:left="360"/>
      </w:pPr>
      <w:r>
        <w:rPr>
          <w:b/>
        </w:rPr>
        <w:t xml:space="preserve">Why this reading: </w:t>
      </w:r>
      <w:r>
        <w:t>Using donated browsing data from 642 users over 12 weeks, this study compares what people encounter on Facebook with what they deliberately consume elsewhere. Facebook exposure contained more misinformation-source content but was also more politically diverse than off-platform consumption, complicating simple “algorithm equals bubble” narratives.</w:t>
      </w:r>
    </w:p>
    <w:p w14:paraId="7DF2B56D" w14:textId="77777777" w:rsidR="00282897" w:rsidRDefault="00BE525B">
      <w:pPr>
        <w:keepLines/>
        <w:spacing w:after="160"/>
        <w:ind w:left="360"/>
      </w:pPr>
      <w:r>
        <w:rPr>
          <w:b/>
        </w:rPr>
        <w:t xml:space="preserve">Discussion question: </w:t>
      </w:r>
      <w:r>
        <w:rPr>
          <w:i/>
        </w:rPr>
        <w:t>How does the finding that Facebook exposure was both more misinformation-prone and more politically diverse challenge a one-directional account of algorithmic curation?</w:t>
      </w:r>
    </w:p>
    <w:p w14:paraId="632709C3" w14:textId="77777777" w:rsidR="00282897" w:rsidRDefault="00BE525B">
      <w:pPr>
        <w:pStyle w:val="Heading1"/>
      </w:pPr>
      <w:r>
        <w:lastRenderedPageBreak/>
        <w:t>Week 6: Images, Video &amp; Deepfakes</w:t>
      </w:r>
    </w:p>
    <w:p w14:paraId="6BAE5EB8" w14:textId="77777777" w:rsidR="00282897" w:rsidRDefault="00BE525B">
      <w:pPr>
        <w:spacing w:after="100"/>
      </w:pPr>
      <w:r>
        <w:rPr>
          <w:b/>
          <w:color w:val="5B6570"/>
        </w:rPr>
        <w:t xml:space="preserve">Course focus: </w:t>
      </w:r>
      <w:r>
        <w:t>Visual credibility, manipulated media, synthetic media, and the limits of detection.</w:t>
      </w:r>
    </w:p>
    <w:p w14:paraId="1B74B3BB" w14:textId="77777777" w:rsidR="00282897" w:rsidRDefault="00BE525B">
      <w:pPr>
        <w:pStyle w:val="ListNumber"/>
        <w:keepNext/>
        <w:spacing w:before="100" w:after="40"/>
      </w:pPr>
      <w:hyperlink r:id="rId18">
        <w:r>
          <w:rPr>
            <w:b/>
            <w:color w:val="28597F"/>
          </w:rPr>
          <w:t>Beyond Credibility: The Effects of Different Forms of Visual Disinformation</w:t>
        </w:r>
      </w:hyperlink>
    </w:p>
    <w:p w14:paraId="671FBC36" w14:textId="77777777" w:rsidR="00282897" w:rsidRDefault="00BE525B">
      <w:pPr>
        <w:keepNext/>
        <w:spacing w:after="60"/>
        <w:ind w:left="360"/>
      </w:pPr>
      <w:r>
        <w:rPr>
          <w:i/>
          <w:color w:val="5B6570"/>
          <w:sz w:val="19"/>
        </w:rPr>
        <w:t>Teresa Weikmann, Jana Laura Egelhofer &amp; Sophie Lecheler (2025). Journalism &amp; Mass Communication Quarterly.</w:t>
      </w:r>
      <w:r>
        <w:rPr>
          <w:color w:val="5B6570"/>
          <w:sz w:val="19"/>
        </w:rPr>
        <w:t xml:space="preserve">  DOI: 10.1177/10776990251357299  |  Consensus citation count at retrieval: 5</w:t>
      </w:r>
    </w:p>
    <w:p w14:paraId="4784550F" w14:textId="77777777" w:rsidR="00282897" w:rsidRDefault="00BE525B">
      <w:pPr>
        <w:keepNext/>
        <w:spacing w:after="60"/>
        <w:ind w:left="360"/>
      </w:pPr>
      <w:r>
        <w:rPr>
          <w:b/>
        </w:rPr>
        <w:t xml:space="preserve">Why this reading: </w:t>
      </w:r>
      <w:r>
        <w:t>An online experiment compares deepfakes, cheapfakes, and decontextualized video. Even when manipulated content was rated as low in credibility, some forms still produced misperceptions, showing why “did people believe the source?” is not the only meaningful outcome when studying visual disinformation.</w:t>
      </w:r>
    </w:p>
    <w:p w14:paraId="3ABFFA70" w14:textId="77777777" w:rsidR="00282897" w:rsidRDefault="00BE525B">
      <w:pPr>
        <w:keepLines/>
        <w:spacing w:after="160"/>
        <w:ind w:left="360"/>
      </w:pPr>
      <w:r>
        <w:rPr>
          <w:b/>
        </w:rPr>
        <w:t xml:space="preserve">Discussion question: </w:t>
      </w:r>
      <w:r>
        <w:rPr>
          <w:i/>
        </w:rPr>
        <w:t>Why might low perceived credibility fail to protect viewers from a visual misperception, and what should that imply for how we assess the harms of manipulated media?</w:t>
      </w:r>
    </w:p>
    <w:p w14:paraId="71F77A4B" w14:textId="77777777" w:rsidR="00282897" w:rsidRDefault="00BE525B">
      <w:pPr>
        <w:pStyle w:val="ListNumber"/>
        <w:keepNext/>
        <w:spacing w:before="100" w:after="40"/>
      </w:pPr>
      <w:hyperlink r:id="rId19">
        <w:r>
          <w:rPr>
            <w:b/>
            <w:color w:val="28597F"/>
          </w:rPr>
          <w:t>Identifying individual differences in deepfake discernment: the effects of cognitive disposition and visual literacy</w:t>
        </w:r>
      </w:hyperlink>
    </w:p>
    <w:p w14:paraId="3E1B86C2" w14:textId="77777777" w:rsidR="00282897" w:rsidRDefault="00BE525B">
      <w:pPr>
        <w:keepNext/>
        <w:spacing w:after="60"/>
        <w:ind w:left="360"/>
      </w:pPr>
      <w:r>
        <w:rPr>
          <w:i/>
          <w:color w:val="5B6570"/>
          <w:sz w:val="19"/>
        </w:rPr>
        <w:t>Xinyi Jin, Guoyan Wang, Zhuoyue Zhang, Wenbo Zhou, Nenghai Yu, Bowen Gao &amp; Shuqing Gao (2025). Information, Communication &amp; Society.</w:t>
      </w:r>
      <w:r>
        <w:rPr>
          <w:color w:val="5B6570"/>
          <w:sz w:val="19"/>
        </w:rPr>
        <w:t xml:space="preserve">  DOI: 10.1080/1369118x.2025.2496902  |  Consensus citation count at retrieval: 5</w:t>
      </w:r>
    </w:p>
    <w:p w14:paraId="410D8F87" w14:textId="77777777" w:rsidR="00282897" w:rsidRDefault="00BE525B">
      <w:pPr>
        <w:keepNext/>
        <w:spacing w:after="60"/>
        <w:ind w:left="360"/>
      </w:pPr>
      <w:r>
        <w:rPr>
          <w:b/>
        </w:rPr>
        <w:t xml:space="preserve">Why this reading: </w:t>
      </w:r>
      <w:r>
        <w:t>A survey study of 516 participants links deepfake discernment to cognitive disposition and visual literacy. Participants often relied on illogical content and manipulation traces; stronger interpretive visual literacy aided detection, while greater reliance on intuition was associated with overlooking logical inconsistencies.</w:t>
      </w:r>
    </w:p>
    <w:p w14:paraId="4047F9B9" w14:textId="77777777" w:rsidR="00282897" w:rsidRDefault="00BE525B">
      <w:pPr>
        <w:keepLines/>
        <w:spacing w:after="160"/>
        <w:ind w:left="360"/>
      </w:pPr>
      <w:r>
        <w:rPr>
          <w:b/>
        </w:rPr>
        <w:t xml:space="preserve">Discussion question: </w:t>
      </w:r>
      <w:r>
        <w:rPr>
          <w:i/>
        </w:rPr>
        <w:t>Should deepfake education focus primarily on spotting technical artifacts, evaluating the plausibility and context of the claim, or both? Use the study’s findings to justify your answer.</w:t>
      </w:r>
    </w:p>
    <w:p w14:paraId="2443F338" w14:textId="77777777" w:rsidR="00282897" w:rsidRDefault="00BE525B">
      <w:pPr>
        <w:pStyle w:val="Heading1"/>
      </w:pPr>
      <w:r>
        <w:t>Week 7: Verification &amp; Lateral Reading</w:t>
      </w:r>
    </w:p>
    <w:p w14:paraId="5DD669FB" w14:textId="77777777" w:rsidR="00282897" w:rsidRDefault="00BE525B">
      <w:pPr>
        <w:spacing w:after="100"/>
      </w:pPr>
      <w:r>
        <w:rPr>
          <w:b/>
          <w:color w:val="5B6570"/>
        </w:rPr>
        <w:t xml:space="preserve">Course focus: </w:t>
      </w:r>
      <w:r>
        <w:t>Fact-checking, source tracing, lateral reading, corroboration, and practical verification strategies.</w:t>
      </w:r>
    </w:p>
    <w:p w14:paraId="05ACBCB2" w14:textId="77777777" w:rsidR="00282897" w:rsidRDefault="00BE525B">
      <w:pPr>
        <w:pStyle w:val="ListNumber"/>
        <w:keepNext/>
        <w:spacing w:before="100" w:after="40"/>
      </w:pPr>
      <w:hyperlink r:id="rId20">
        <w:r>
          <w:rPr>
            <w:b/>
            <w:color w:val="28597F"/>
          </w:rPr>
          <w:t>Judging a text by its author — A meta-analysis of interventions to foster source credibility assessment</w:t>
        </w:r>
      </w:hyperlink>
    </w:p>
    <w:p w14:paraId="4ECFAB77" w14:textId="77777777" w:rsidR="00282897" w:rsidRDefault="00BE525B">
      <w:pPr>
        <w:keepNext/>
        <w:spacing w:after="60"/>
        <w:ind w:left="360"/>
      </w:pPr>
      <w:r>
        <w:rPr>
          <w:i/>
          <w:color w:val="5B6570"/>
          <w:sz w:val="19"/>
        </w:rPr>
        <w:t>Marvin Fendt, Xenia Muth &amp; P. Edelsbrunner (2025). Learning and Individual Differences.</w:t>
      </w:r>
      <w:r>
        <w:rPr>
          <w:color w:val="5B6570"/>
          <w:sz w:val="19"/>
        </w:rPr>
        <w:t xml:space="preserve">  DOI: 10.1016/j.lindif.2025.102782  |  Consensus citation count at retrieval: 6</w:t>
      </w:r>
    </w:p>
    <w:p w14:paraId="0FF1D3EB" w14:textId="77777777" w:rsidR="00282897" w:rsidRDefault="00BE525B">
      <w:pPr>
        <w:keepNext/>
        <w:spacing w:after="60"/>
        <w:ind w:left="360"/>
      </w:pPr>
      <w:r>
        <w:rPr>
          <w:b/>
        </w:rPr>
        <w:t xml:space="preserve">Why this reading: </w:t>
      </w:r>
      <w:r>
        <w:t>This meta-analysis synthesizes 64 controlled experimental studies of source-credibility instruction. The Consensus result reports an overall positive effect and identifies lateral reading as the strongest intervention approach, while also emphasizing heterogeneity, repeated practice, and ecological validity.</w:t>
      </w:r>
    </w:p>
    <w:p w14:paraId="4B5B9020" w14:textId="77777777" w:rsidR="00282897" w:rsidRDefault="00BE525B">
      <w:pPr>
        <w:keepLines/>
        <w:spacing w:after="160"/>
        <w:ind w:left="360"/>
      </w:pPr>
      <w:r>
        <w:rPr>
          <w:b/>
        </w:rPr>
        <w:t xml:space="preserve">Discussion question: </w:t>
      </w:r>
      <w:r>
        <w:rPr>
          <w:i/>
        </w:rPr>
        <w:t>Why might an intervention work differently in an authentic open-web task than in a tightly controlled classroom exercise, and how should instructors design practice accordingly?</w:t>
      </w:r>
    </w:p>
    <w:p w14:paraId="12B4E67B" w14:textId="77777777" w:rsidR="00282897" w:rsidRDefault="00BE525B">
      <w:pPr>
        <w:pStyle w:val="ListNumber"/>
        <w:keepNext/>
        <w:spacing w:before="100" w:after="40"/>
      </w:pPr>
      <w:hyperlink r:id="rId21">
        <w:r>
          <w:rPr>
            <w:b/>
            <w:color w:val="28597F"/>
          </w:rPr>
          <w:t>Boosting Media Literacy Using Lateral Reading and Online Search Interventions</w:t>
        </w:r>
      </w:hyperlink>
    </w:p>
    <w:p w14:paraId="40FAC1C5" w14:textId="77777777" w:rsidR="00282897" w:rsidRDefault="00BE525B">
      <w:pPr>
        <w:keepNext/>
        <w:spacing w:after="60"/>
        <w:ind w:left="360"/>
      </w:pPr>
      <w:r>
        <w:rPr>
          <w:i/>
          <w:color w:val="5B6570"/>
          <w:sz w:val="19"/>
        </w:rPr>
        <w:t>Lisa Oswald, A. Kozyreva, Stefan M. Herzog, P. Nickl &amp; R. Hertwig (2026). Psychological Science.</w:t>
      </w:r>
      <w:r>
        <w:rPr>
          <w:color w:val="5B6570"/>
          <w:sz w:val="19"/>
        </w:rPr>
        <w:t xml:space="preserve">  DOI: 10.1177/09567976261453813  |  Consensus citation count at retrieval: 3</w:t>
      </w:r>
    </w:p>
    <w:p w14:paraId="6EE8682C" w14:textId="77777777" w:rsidR="00282897" w:rsidRDefault="00BE525B">
      <w:pPr>
        <w:keepNext/>
        <w:spacing w:after="60"/>
        <w:ind w:left="360"/>
      </w:pPr>
      <w:r>
        <w:rPr>
          <w:b/>
        </w:rPr>
        <w:t xml:space="preserve">Why this reading: </w:t>
      </w:r>
      <w:r>
        <w:t>A nationally representative randomized study in Germany compares source-focused lateral reading with claim-focused online search. Both produced small improvements in discernment, but differences from control were no longer distinguishable at two weeks, making durability a central issue for classroom implementation.</w:t>
      </w:r>
    </w:p>
    <w:p w14:paraId="64F1565F" w14:textId="77777777" w:rsidR="00282897" w:rsidRDefault="00BE525B">
      <w:pPr>
        <w:keepLines/>
        <w:spacing w:after="160"/>
        <w:ind w:left="360"/>
      </w:pPr>
      <w:r>
        <w:rPr>
          <w:b/>
        </w:rPr>
        <w:t xml:space="preserve">Discussion question: </w:t>
      </w:r>
      <w:r>
        <w:rPr>
          <w:i/>
        </w:rPr>
        <w:t>If a verification strategy produces an immediate improvement that fades quickly, should we conclude the strategy does not work, or that instruction needs reinforcement? What evidence would help distinguish those explanations?</w:t>
      </w:r>
    </w:p>
    <w:p w14:paraId="198B540E" w14:textId="77777777" w:rsidR="00282897" w:rsidRDefault="00BE525B">
      <w:pPr>
        <w:pStyle w:val="ListNumber"/>
        <w:keepNext/>
        <w:spacing w:before="100" w:after="40"/>
      </w:pPr>
      <w:hyperlink r:id="rId22">
        <w:r>
          <w:rPr>
            <w:b/>
            <w:color w:val="28597F"/>
          </w:rPr>
          <w:t>Discussing Credibility and Corroboration: Students’ Reasoning About Digital Sources and Claims During Lateral Reading Lessons</w:t>
        </w:r>
      </w:hyperlink>
    </w:p>
    <w:p w14:paraId="112452E3" w14:textId="77777777" w:rsidR="00282897" w:rsidRDefault="00BE525B">
      <w:pPr>
        <w:keepNext/>
        <w:spacing w:after="60"/>
        <w:ind w:left="360"/>
      </w:pPr>
      <w:r>
        <w:rPr>
          <w:i/>
          <w:color w:val="5B6570"/>
          <w:sz w:val="19"/>
        </w:rPr>
        <w:t>Sarah McGrew &amp; Elizabeth C. Reynolds (2026). American Educational Research Journal.</w:t>
      </w:r>
      <w:r>
        <w:rPr>
          <w:color w:val="5B6570"/>
          <w:sz w:val="19"/>
        </w:rPr>
        <w:t xml:space="preserve">  DOI: 10.3102/00028312261426323  |  Consensus citation count at retrieval: 2</w:t>
      </w:r>
    </w:p>
    <w:p w14:paraId="398C91FA" w14:textId="77777777" w:rsidR="00282897" w:rsidRDefault="00BE525B">
      <w:pPr>
        <w:keepNext/>
        <w:spacing w:after="60"/>
        <w:ind w:left="360"/>
      </w:pPr>
      <w:r>
        <w:rPr>
          <w:b/>
        </w:rPr>
        <w:t xml:space="preserve">Why this reading: </w:t>
      </w:r>
      <w:r>
        <w:t>This study examines students’ reasoning during lateral-reading instruction and finds that investigating a source’s credibility and corroborating a claim’s accuracy involve distinct reasoning processes. It supports teaching those moves explicitly rather than collapsing all verification into a single generic strategy.</w:t>
      </w:r>
    </w:p>
    <w:p w14:paraId="60C8F08C" w14:textId="77777777" w:rsidR="00282897" w:rsidRDefault="00BE525B">
      <w:pPr>
        <w:keepLines/>
        <w:spacing w:after="160"/>
        <w:ind w:left="360"/>
      </w:pPr>
      <w:r>
        <w:rPr>
          <w:b/>
        </w:rPr>
        <w:t xml:space="preserve">Discussion question: </w:t>
      </w:r>
      <w:r>
        <w:rPr>
          <w:i/>
        </w:rPr>
        <w:t>How would you design two different verification tasks—one focused on source credibility and one focused on claim corroboration—so students learn when each kind of reasoning is appropriate?</w:t>
      </w:r>
    </w:p>
    <w:p w14:paraId="17C104B4" w14:textId="77777777" w:rsidR="00282897" w:rsidRDefault="00BE525B">
      <w:pPr>
        <w:pStyle w:val="Heading1"/>
      </w:pPr>
      <w:r>
        <w:t>Coverage and Gaps to Discuss with Students</w:t>
      </w:r>
    </w:p>
    <w:p w14:paraId="62DE18B3" w14:textId="77777777" w:rsidR="00282897" w:rsidRDefault="00BE525B">
      <w:pPr>
        <w:pStyle w:val="ListBullet"/>
        <w:spacing w:after="80"/>
      </w:pPr>
      <w:r>
        <w:t>Recent-literature bias: All searches were limited to 2025-2026, so historically foundational misinformation, source-evaluation, and lateral-reading scholarship is underrepresented by design.</w:t>
      </w:r>
    </w:p>
    <w:p w14:paraId="7D66646A" w14:textId="77777777" w:rsidR="00282897" w:rsidRDefault="00BE525B">
      <w:pPr>
        <w:pStyle w:val="ListBullet"/>
        <w:spacing w:after="80"/>
      </w:pPr>
      <w:r>
        <w:t>Disciplinary balance: The selected set spans communication, psychology, education, information/digital health, human-computer interaction, and related fields, but it is not a systematic review of every discipline represented in the course.</w:t>
      </w:r>
    </w:p>
    <w:p w14:paraId="5C272B18" w14:textId="77777777" w:rsidR="00282897" w:rsidRDefault="00BE525B">
      <w:pPr>
        <w:pStyle w:val="ListBullet"/>
        <w:spacing w:after="80"/>
      </w:pPr>
      <w:r>
        <w:t>Population coverage: Several readings focus on youth, young adults, or specific national contexts. Students should be encouraged to ask how well findings generalize across age, culture, language, and platform environments.</w:t>
      </w:r>
    </w:p>
    <w:p w14:paraId="65AD29D5" w14:textId="77777777" w:rsidR="00282897" w:rsidRDefault="00BE525B">
      <w:pPr>
        <w:pStyle w:val="ListBullet"/>
        <w:spacing w:after="80"/>
      </w:pPr>
      <w:r>
        <w:t>Platform and technology change: Findings about social media platforms, algorithms, and deepfakes may age quickly as interfaces, recommendation systems, and generative technologies evolve.</w:t>
      </w:r>
    </w:p>
    <w:p w14:paraId="3F2AC2B8" w14:textId="77777777" w:rsidR="00282897" w:rsidRDefault="00BE525B">
      <w:pPr>
        <w:pStyle w:val="ListBullet"/>
        <w:spacing w:after="80"/>
      </w:pPr>
      <w:r>
        <w:t>Instructional durability: The Week 7 evidence illustrates an important distinction between short-term gains in verification behavior and durable learning. This is a useful point for comparing efficacy, transfer, and implementation.</w:t>
      </w:r>
    </w:p>
    <w:p w14:paraId="667CEDB9" w14:textId="77777777" w:rsidR="00282897" w:rsidRDefault="00BE525B">
      <w:pPr>
        <w:pStyle w:val="ListBullet"/>
        <w:spacing w:after="80"/>
      </w:pPr>
      <w:r>
        <w:t>Instructor review: Final selection should consider course goals, accessibility, representation, licensing/access, workload, and disciplinary judgment before any reading is assigned.</w:t>
      </w:r>
    </w:p>
    <w:p w14:paraId="61B8CD16" w14:textId="77777777" w:rsidR="00282897" w:rsidRDefault="00BE525B">
      <w:pPr>
        <w:pStyle w:val="Heading1"/>
        <w:pageBreakBefore/>
      </w:pPr>
      <w:r>
        <w:lastRenderedPageBreak/>
        <w:t>Search Audit Log</w:t>
      </w:r>
    </w:p>
    <w:p w14:paraId="09A0C101" w14:textId="77777777" w:rsidR="00282897" w:rsidRDefault="00BE525B">
      <w:pPr>
        <w:spacing w:after="140"/>
      </w:pPr>
      <w:r>
        <w:t>Consensus was the sole paper-discovery source for this workflow. Seven planned searches were completed successfully. Each query returned 20 papers, for 140 candidate records in the reviewed pool. Fifteen papers were selected for the final reading list. The tool reported a 20-paper-per-search result limit in this session; therefore, the candidate pool reflects returned results, not an exhaustive universe of relevant literature.</w:t>
      </w:r>
    </w:p>
    <w:tbl>
      <w:tblPr>
        <w:tblStyle w:val="TableGrid"/>
        <w:tblW w:w="0" w:type="auto"/>
        <w:jc w:val="center"/>
        <w:tblLook w:val="04A0" w:firstRow="1" w:lastRow="0" w:firstColumn="1" w:lastColumn="0" w:noHBand="0" w:noVBand="1"/>
      </w:tblPr>
      <w:tblGrid>
        <w:gridCol w:w="1800"/>
        <w:gridCol w:w="3960"/>
        <w:gridCol w:w="1512"/>
        <w:gridCol w:w="919"/>
        <w:gridCol w:w="875"/>
        <w:gridCol w:w="1008"/>
      </w:tblGrid>
      <w:tr w:rsidR="00282897" w14:paraId="772DCC2E" w14:textId="77777777">
        <w:trPr>
          <w:tblHeader/>
          <w:jc w:val="center"/>
        </w:trPr>
        <w:tc>
          <w:tcPr>
            <w:tcW w:w="1800" w:type="dxa"/>
            <w:shd w:val="clear" w:color="auto" w:fill="28597F"/>
            <w:vAlign w:val="center"/>
          </w:tcPr>
          <w:p w14:paraId="7718E813" w14:textId="77777777" w:rsidR="00282897" w:rsidRDefault="00BE525B">
            <w:pPr>
              <w:jc w:val="center"/>
            </w:pPr>
            <w:r>
              <w:rPr>
                <w:b/>
                <w:color w:val="FFFFFF"/>
                <w:sz w:val="16"/>
              </w:rPr>
              <w:t>Section</w:t>
            </w:r>
          </w:p>
        </w:tc>
        <w:tc>
          <w:tcPr>
            <w:tcW w:w="3960" w:type="dxa"/>
            <w:shd w:val="clear" w:color="auto" w:fill="28597F"/>
            <w:vAlign w:val="center"/>
          </w:tcPr>
          <w:p w14:paraId="118C2142" w14:textId="77777777" w:rsidR="00282897" w:rsidRDefault="00BE525B">
            <w:pPr>
              <w:jc w:val="center"/>
            </w:pPr>
            <w:r>
              <w:rPr>
                <w:b/>
                <w:color w:val="FFFFFF"/>
                <w:sz w:val="16"/>
              </w:rPr>
              <w:t>Consensus query</w:t>
            </w:r>
          </w:p>
        </w:tc>
        <w:tc>
          <w:tcPr>
            <w:tcW w:w="1512" w:type="dxa"/>
            <w:shd w:val="clear" w:color="auto" w:fill="28597F"/>
            <w:vAlign w:val="center"/>
          </w:tcPr>
          <w:p w14:paraId="47E49A4C" w14:textId="77777777" w:rsidR="00282897" w:rsidRDefault="00BE525B">
            <w:pPr>
              <w:jc w:val="center"/>
            </w:pPr>
            <w:r>
              <w:rPr>
                <w:b/>
                <w:color w:val="FFFFFF"/>
                <w:sz w:val="16"/>
              </w:rPr>
              <w:t>Filters</w:t>
            </w:r>
          </w:p>
        </w:tc>
        <w:tc>
          <w:tcPr>
            <w:tcW w:w="792" w:type="dxa"/>
            <w:shd w:val="clear" w:color="auto" w:fill="28597F"/>
            <w:vAlign w:val="center"/>
          </w:tcPr>
          <w:p w14:paraId="28002DBA" w14:textId="77777777" w:rsidR="00282897" w:rsidRDefault="00BE525B">
            <w:pPr>
              <w:jc w:val="center"/>
            </w:pPr>
            <w:r>
              <w:rPr>
                <w:b/>
                <w:color w:val="FFFFFF"/>
                <w:sz w:val="16"/>
              </w:rPr>
              <w:t>Returned</w:t>
            </w:r>
          </w:p>
        </w:tc>
        <w:tc>
          <w:tcPr>
            <w:tcW w:w="792" w:type="dxa"/>
            <w:shd w:val="clear" w:color="auto" w:fill="28597F"/>
            <w:vAlign w:val="center"/>
          </w:tcPr>
          <w:p w14:paraId="29E7036D" w14:textId="77777777" w:rsidR="00282897" w:rsidRDefault="00BE525B">
            <w:pPr>
              <w:jc w:val="center"/>
            </w:pPr>
            <w:r>
              <w:rPr>
                <w:b/>
                <w:color w:val="FFFFFF"/>
                <w:sz w:val="16"/>
              </w:rPr>
              <w:t>Selected</w:t>
            </w:r>
          </w:p>
        </w:tc>
        <w:tc>
          <w:tcPr>
            <w:tcW w:w="1008" w:type="dxa"/>
            <w:shd w:val="clear" w:color="auto" w:fill="28597F"/>
            <w:vAlign w:val="center"/>
          </w:tcPr>
          <w:p w14:paraId="1E7B31AF" w14:textId="77777777" w:rsidR="00282897" w:rsidRDefault="00BE525B">
            <w:pPr>
              <w:jc w:val="center"/>
            </w:pPr>
            <w:r>
              <w:rPr>
                <w:b/>
                <w:color w:val="FFFFFF"/>
                <w:sz w:val="16"/>
              </w:rPr>
              <w:t>Status</w:t>
            </w:r>
          </w:p>
        </w:tc>
      </w:tr>
      <w:tr w:rsidR="00282897" w14:paraId="424AF54F" w14:textId="77777777">
        <w:trPr>
          <w:jc w:val="center"/>
        </w:trPr>
        <w:tc>
          <w:tcPr>
            <w:tcW w:w="1800" w:type="dxa"/>
          </w:tcPr>
          <w:p w14:paraId="32FEF719" w14:textId="77777777" w:rsidR="00282897" w:rsidRDefault="00BE525B">
            <w:r>
              <w:rPr>
                <w:sz w:val="15"/>
              </w:rPr>
              <w:t>Week 1 - Information Disorder Landscape</w:t>
            </w:r>
          </w:p>
        </w:tc>
        <w:tc>
          <w:tcPr>
            <w:tcW w:w="3960" w:type="dxa"/>
          </w:tcPr>
          <w:p w14:paraId="7A5A539E" w14:textId="77777777" w:rsidR="00282897" w:rsidRDefault="00BE525B">
            <w:r>
              <w:rPr>
                <w:sz w:val="15"/>
              </w:rPr>
              <w:t>misinformation disinformation information disorder definitions year:2025-2026</w:t>
            </w:r>
          </w:p>
        </w:tc>
        <w:tc>
          <w:tcPr>
            <w:tcW w:w="1512" w:type="dxa"/>
          </w:tcPr>
          <w:p w14:paraId="7646D6EC" w14:textId="77777777" w:rsidR="00282897" w:rsidRDefault="00BE525B">
            <w:r>
              <w:rPr>
                <w:sz w:val="15"/>
              </w:rPr>
              <w:t>year:2025-2026</w:t>
            </w:r>
          </w:p>
        </w:tc>
        <w:tc>
          <w:tcPr>
            <w:tcW w:w="792" w:type="dxa"/>
          </w:tcPr>
          <w:p w14:paraId="16B005C3" w14:textId="77777777" w:rsidR="00282897" w:rsidRDefault="00BE525B">
            <w:r>
              <w:rPr>
                <w:sz w:val="15"/>
              </w:rPr>
              <w:t>20</w:t>
            </w:r>
          </w:p>
        </w:tc>
        <w:tc>
          <w:tcPr>
            <w:tcW w:w="792" w:type="dxa"/>
          </w:tcPr>
          <w:p w14:paraId="79D9BE36" w14:textId="77777777" w:rsidR="00282897" w:rsidRDefault="00BE525B">
            <w:r>
              <w:rPr>
                <w:sz w:val="15"/>
              </w:rPr>
              <w:t>2</w:t>
            </w:r>
          </w:p>
        </w:tc>
        <w:tc>
          <w:tcPr>
            <w:tcW w:w="1008" w:type="dxa"/>
          </w:tcPr>
          <w:p w14:paraId="31631C8C" w14:textId="77777777" w:rsidR="00282897" w:rsidRDefault="00BE525B">
            <w:r>
              <w:rPr>
                <w:sz w:val="15"/>
              </w:rPr>
              <w:t>Complete</w:t>
            </w:r>
          </w:p>
        </w:tc>
      </w:tr>
      <w:tr w:rsidR="00282897" w14:paraId="627FCCC7" w14:textId="77777777">
        <w:trPr>
          <w:jc w:val="center"/>
        </w:trPr>
        <w:tc>
          <w:tcPr>
            <w:tcW w:w="1800" w:type="dxa"/>
          </w:tcPr>
          <w:p w14:paraId="50B1B85B" w14:textId="77777777" w:rsidR="00282897" w:rsidRDefault="00BE525B">
            <w:r>
              <w:rPr>
                <w:sz w:val="15"/>
              </w:rPr>
              <w:t>Week 2 - Credibility, Expertise &amp; Authority</w:t>
            </w:r>
          </w:p>
        </w:tc>
        <w:tc>
          <w:tcPr>
            <w:tcW w:w="3960" w:type="dxa"/>
          </w:tcPr>
          <w:p w14:paraId="4CFA6109" w14:textId="77777777" w:rsidR="00282897" w:rsidRDefault="00BE525B">
            <w:r>
              <w:rPr>
                <w:sz w:val="15"/>
              </w:rPr>
              <w:t>source credibility expertise trust online information year:2025-2026</w:t>
            </w:r>
          </w:p>
        </w:tc>
        <w:tc>
          <w:tcPr>
            <w:tcW w:w="1512" w:type="dxa"/>
          </w:tcPr>
          <w:p w14:paraId="3C697847" w14:textId="77777777" w:rsidR="00282897" w:rsidRDefault="00BE525B">
            <w:r>
              <w:rPr>
                <w:sz w:val="15"/>
              </w:rPr>
              <w:t>year:2025-2026</w:t>
            </w:r>
          </w:p>
        </w:tc>
        <w:tc>
          <w:tcPr>
            <w:tcW w:w="792" w:type="dxa"/>
          </w:tcPr>
          <w:p w14:paraId="353805C0" w14:textId="77777777" w:rsidR="00282897" w:rsidRDefault="00BE525B">
            <w:r>
              <w:rPr>
                <w:sz w:val="15"/>
              </w:rPr>
              <w:t>20</w:t>
            </w:r>
          </w:p>
        </w:tc>
        <w:tc>
          <w:tcPr>
            <w:tcW w:w="792" w:type="dxa"/>
          </w:tcPr>
          <w:p w14:paraId="414154F1" w14:textId="77777777" w:rsidR="00282897" w:rsidRDefault="00BE525B">
            <w:r>
              <w:rPr>
                <w:sz w:val="15"/>
              </w:rPr>
              <w:t>2</w:t>
            </w:r>
          </w:p>
        </w:tc>
        <w:tc>
          <w:tcPr>
            <w:tcW w:w="1008" w:type="dxa"/>
          </w:tcPr>
          <w:p w14:paraId="02647241" w14:textId="77777777" w:rsidR="00282897" w:rsidRDefault="00BE525B">
            <w:r>
              <w:rPr>
                <w:sz w:val="15"/>
              </w:rPr>
              <w:t>Complete</w:t>
            </w:r>
          </w:p>
        </w:tc>
      </w:tr>
      <w:tr w:rsidR="00282897" w14:paraId="6F797741" w14:textId="77777777">
        <w:trPr>
          <w:jc w:val="center"/>
        </w:trPr>
        <w:tc>
          <w:tcPr>
            <w:tcW w:w="1800" w:type="dxa"/>
          </w:tcPr>
          <w:p w14:paraId="5BDFCBBB" w14:textId="77777777" w:rsidR="00282897" w:rsidRDefault="00BE525B">
            <w:r>
              <w:rPr>
                <w:sz w:val="15"/>
              </w:rPr>
              <w:t>Week 3 - Cognition, Memory &amp; Belief</w:t>
            </w:r>
          </w:p>
        </w:tc>
        <w:tc>
          <w:tcPr>
            <w:tcW w:w="3960" w:type="dxa"/>
          </w:tcPr>
          <w:p w14:paraId="3397A2D2" w14:textId="77777777" w:rsidR="00282897" w:rsidRDefault="00BE525B">
            <w:r>
              <w:rPr>
                <w:sz w:val="15"/>
              </w:rPr>
              <w:t>misinformation cognitive bias belief familiarity memory year:2025-2026</w:t>
            </w:r>
          </w:p>
        </w:tc>
        <w:tc>
          <w:tcPr>
            <w:tcW w:w="1512" w:type="dxa"/>
          </w:tcPr>
          <w:p w14:paraId="5B4E1C9E" w14:textId="77777777" w:rsidR="00282897" w:rsidRDefault="00BE525B">
            <w:r>
              <w:rPr>
                <w:sz w:val="15"/>
              </w:rPr>
              <w:t>year:2025-2026</w:t>
            </w:r>
          </w:p>
        </w:tc>
        <w:tc>
          <w:tcPr>
            <w:tcW w:w="792" w:type="dxa"/>
          </w:tcPr>
          <w:p w14:paraId="5EACBA6E" w14:textId="77777777" w:rsidR="00282897" w:rsidRDefault="00BE525B">
            <w:r>
              <w:rPr>
                <w:sz w:val="15"/>
              </w:rPr>
              <w:t>20</w:t>
            </w:r>
          </w:p>
        </w:tc>
        <w:tc>
          <w:tcPr>
            <w:tcW w:w="792" w:type="dxa"/>
          </w:tcPr>
          <w:p w14:paraId="2378F06B" w14:textId="77777777" w:rsidR="00282897" w:rsidRDefault="00BE525B">
            <w:r>
              <w:rPr>
                <w:sz w:val="15"/>
              </w:rPr>
              <w:t>2</w:t>
            </w:r>
          </w:p>
        </w:tc>
        <w:tc>
          <w:tcPr>
            <w:tcW w:w="1008" w:type="dxa"/>
          </w:tcPr>
          <w:p w14:paraId="71AC0645" w14:textId="77777777" w:rsidR="00282897" w:rsidRDefault="00BE525B">
            <w:r>
              <w:rPr>
                <w:sz w:val="15"/>
              </w:rPr>
              <w:t>Complete</w:t>
            </w:r>
          </w:p>
        </w:tc>
      </w:tr>
      <w:tr w:rsidR="00282897" w14:paraId="227B595B" w14:textId="77777777">
        <w:trPr>
          <w:jc w:val="center"/>
        </w:trPr>
        <w:tc>
          <w:tcPr>
            <w:tcW w:w="1800" w:type="dxa"/>
          </w:tcPr>
          <w:p w14:paraId="21E0F1ED" w14:textId="77777777" w:rsidR="00282897" w:rsidRDefault="00BE525B">
            <w:r>
              <w:rPr>
                <w:sz w:val="15"/>
              </w:rPr>
              <w:t>Week 4 - Social Influence &amp; Sharing</w:t>
            </w:r>
          </w:p>
        </w:tc>
        <w:tc>
          <w:tcPr>
            <w:tcW w:w="3960" w:type="dxa"/>
          </w:tcPr>
          <w:p w14:paraId="4DADC792" w14:textId="77777777" w:rsidR="00282897" w:rsidRDefault="00BE525B">
            <w:r>
              <w:rPr>
                <w:sz w:val="15"/>
              </w:rPr>
              <w:t>misinformation social sharing emotion identity virality year:2025-2026</w:t>
            </w:r>
          </w:p>
        </w:tc>
        <w:tc>
          <w:tcPr>
            <w:tcW w:w="1512" w:type="dxa"/>
          </w:tcPr>
          <w:p w14:paraId="1ECE07E7" w14:textId="77777777" w:rsidR="00282897" w:rsidRDefault="00BE525B">
            <w:r>
              <w:rPr>
                <w:sz w:val="15"/>
              </w:rPr>
              <w:t>year:2025-2026</w:t>
            </w:r>
          </w:p>
        </w:tc>
        <w:tc>
          <w:tcPr>
            <w:tcW w:w="792" w:type="dxa"/>
          </w:tcPr>
          <w:p w14:paraId="6111F6EB" w14:textId="77777777" w:rsidR="00282897" w:rsidRDefault="00BE525B">
            <w:r>
              <w:rPr>
                <w:sz w:val="15"/>
              </w:rPr>
              <w:t>20</w:t>
            </w:r>
          </w:p>
        </w:tc>
        <w:tc>
          <w:tcPr>
            <w:tcW w:w="792" w:type="dxa"/>
          </w:tcPr>
          <w:p w14:paraId="093A7296" w14:textId="77777777" w:rsidR="00282897" w:rsidRDefault="00BE525B">
            <w:r>
              <w:rPr>
                <w:sz w:val="15"/>
              </w:rPr>
              <w:t>2</w:t>
            </w:r>
          </w:p>
        </w:tc>
        <w:tc>
          <w:tcPr>
            <w:tcW w:w="1008" w:type="dxa"/>
          </w:tcPr>
          <w:p w14:paraId="224A9679" w14:textId="77777777" w:rsidR="00282897" w:rsidRDefault="00BE525B">
            <w:r>
              <w:rPr>
                <w:sz w:val="15"/>
              </w:rPr>
              <w:t>Complete</w:t>
            </w:r>
          </w:p>
        </w:tc>
      </w:tr>
      <w:tr w:rsidR="00282897" w14:paraId="6526834E" w14:textId="77777777">
        <w:trPr>
          <w:jc w:val="center"/>
        </w:trPr>
        <w:tc>
          <w:tcPr>
            <w:tcW w:w="1800" w:type="dxa"/>
          </w:tcPr>
          <w:p w14:paraId="711FB0C7" w14:textId="77777777" w:rsidR="00282897" w:rsidRDefault="00BE525B">
            <w:r>
              <w:rPr>
                <w:sz w:val="15"/>
              </w:rPr>
              <w:t>Week 5 - Platforms, Algorithms &amp; Attention</w:t>
            </w:r>
          </w:p>
        </w:tc>
        <w:tc>
          <w:tcPr>
            <w:tcW w:w="3960" w:type="dxa"/>
          </w:tcPr>
          <w:p w14:paraId="67CDAF63" w14:textId="77777777" w:rsidR="00282897" w:rsidRDefault="00BE525B">
            <w:r>
              <w:rPr>
                <w:sz w:val="15"/>
              </w:rPr>
              <w:t>social media algorithms misinformation exposure echo chambers year:2025-2026</w:t>
            </w:r>
          </w:p>
        </w:tc>
        <w:tc>
          <w:tcPr>
            <w:tcW w:w="1512" w:type="dxa"/>
          </w:tcPr>
          <w:p w14:paraId="58CE54C9" w14:textId="77777777" w:rsidR="00282897" w:rsidRDefault="00BE525B">
            <w:r>
              <w:rPr>
                <w:sz w:val="15"/>
              </w:rPr>
              <w:t>year:2025-2026</w:t>
            </w:r>
          </w:p>
        </w:tc>
        <w:tc>
          <w:tcPr>
            <w:tcW w:w="792" w:type="dxa"/>
          </w:tcPr>
          <w:p w14:paraId="7E978B77" w14:textId="77777777" w:rsidR="00282897" w:rsidRDefault="00BE525B">
            <w:r>
              <w:rPr>
                <w:sz w:val="15"/>
              </w:rPr>
              <w:t>20</w:t>
            </w:r>
          </w:p>
        </w:tc>
        <w:tc>
          <w:tcPr>
            <w:tcW w:w="792" w:type="dxa"/>
          </w:tcPr>
          <w:p w14:paraId="16CE5C61" w14:textId="77777777" w:rsidR="00282897" w:rsidRDefault="00BE525B">
            <w:r>
              <w:rPr>
                <w:sz w:val="15"/>
              </w:rPr>
              <w:t>2</w:t>
            </w:r>
          </w:p>
        </w:tc>
        <w:tc>
          <w:tcPr>
            <w:tcW w:w="1008" w:type="dxa"/>
          </w:tcPr>
          <w:p w14:paraId="05BAAA5E" w14:textId="77777777" w:rsidR="00282897" w:rsidRDefault="00BE525B">
            <w:r>
              <w:rPr>
                <w:sz w:val="15"/>
              </w:rPr>
              <w:t>Complete</w:t>
            </w:r>
          </w:p>
        </w:tc>
      </w:tr>
      <w:tr w:rsidR="00282897" w14:paraId="6F640737" w14:textId="77777777">
        <w:trPr>
          <w:jc w:val="center"/>
        </w:trPr>
        <w:tc>
          <w:tcPr>
            <w:tcW w:w="1800" w:type="dxa"/>
          </w:tcPr>
          <w:p w14:paraId="11883928" w14:textId="77777777" w:rsidR="00282897" w:rsidRDefault="00BE525B">
            <w:r>
              <w:rPr>
                <w:sz w:val="15"/>
              </w:rPr>
              <w:t>Week 6 - Images, Video &amp; Deepfakes</w:t>
            </w:r>
          </w:p>
        </w:tc>
        <w:tc>
          <w:tcPr>
            <w:tcW w:w="3960" w:type="dxa"/>
          </w:tcPr>
          <w:p w14:paraId="320563A3" w14:textId="77777777" w:rsidR="00282897" w:rsidRDefault="00BE525B">
            <w:r>
              <w:rPr>
                <w:sz w:val="15"/>
              </w:rPr>
              <w:t>deepfakes visual misinformation detection credibility year:2025-2026</w:t>
            </w:r>
          </w:p>
        </w:tc>
        <w:tc>
          <w:tcPr>
            <w:tcW w:w="1512" w:type="dxa"/>
          </w:tcPr>
          <w:p w14:paraId="13CC2F39" w14:textId="77777777" w:rsidR="00282897" w:rsidRDefault="00BE525B">
            <w:r>
              <w:rPr>
                <w:sz w:val="15"/>
              </w:rPr>
              <w:t>year:2025-2026</w:t>
            </w:r>
          </w:p>
        </w:tc>
        <w:tc>
          <w:tcPr>
            <w:tcW w:w="792" w:type="dxa"/>
          </w:tcPr>
          <w:p w14:paraId="1B3C4A5E" w14:textId="77777777" w:rsidR="00282897" w:rsidRDefault="00BE525B">
            <w:r>
              <w:rPr>
                <w:sz w:val="15"/>
              </w:rPr>
              <w:t>20</w:t>
            </w:r>
          </w:p>
        </w:tc>
        <w:tc>
          <w:tcPr>
            <w:tcW w:w="792" w:type="dxa"/>
          </w:tcPr>
          <w:p w14:paraId="72FDB583" w14:textId="77777777" w:rsidR="00282897" w:rsidRDefault="00BE525B">
            <w:r>
              <w:rPr>
                <w:sz w:val="15"/>
              </w:rPr>
              <w:t>2</w:t>
            </w:r>
          </w:p>
        </w:tc>
        <w:tc>
          <w:tcPr>
            <w:tcW w:w="1008" w:type="dxa"/>
          </w:tcPr>
          <w:p w14:paraId="0A2959BB" w14:textId="77777777" w:rsidR="00282897" w:rsidRDefault="00BE525B">
            <w:r>
              <w:rPr>
                <w:sz w:val="15"/>
              </w:rPr>
              <w:t>Complete</w:t>
            </w:r>
          </w:p>
        </w:tc>
      </w:tr>
      <w:tr w:rsidR="00282897" w14:paraId="54A44795" w14:textId="77777777">
        <w:trPr>
          <w:jc w:val="center"/>
        </w:trPr>
        <w:tc>
          <w:tcPr>
            <w:tcW w:w="1800" w:type="dxa"/>
          </w:tcPr>
          <w:p w14:paraId="6B75B03B" w14:textId="77777777" w:rsidR="00282897" w:rsidRDefault="00BE525B">
            <w:r>
              <w:rPr>
                <w:sz w:val="15"/>
              </w:rPr>
              <w:t>Week 7 - Verification &amp; Lateral Reading</w:t>
            </w:r>
          </w:p>
        </w:tc>
        <w:tc>
          <w:tcPr>
            <w:tcW w:w="3960" w:type="dxa"/>
          </w:tcPr>
          <w:p w14:paraId="1CF6ACF7" w14:textId="77777777" w:rsidR="00282897" w:rsidRDefault="00BE525B">
            <w:r>
              <w:rPr>
                <w:sz w:val="15"/>
              </w:rPr>
              <w:t>lateral reading fact checking online source evaluation year:2025-2026</w:t>
            </w:r>
          </w:p>
        </w:tc>
        <w:tc>
          <w:tcPr>
            <w:tcW w:w="1512" w:type="dxa"/>
          </w:tcPr>
          <w:p w14:paraId="3E563801" w14:textId="77777777" w:rsidR="00282897" w:rsidRDefault="00BE525B">
            <w:r>
              <w:rPr>
                <w:sz w:val="15"/>
              </w:rPr>
              <w:t>year:2025-2026</w:t>
            </w:r>
          </w:p>
        </w:tc>
        <w:tc>
          <w:tcPr>
            <w:tcW w:w="792" w:type="dxa"/>
          </w:tcPr>
          <w:p w14:paraId="0CAF41A7" w14:textId="77777777" w:rsidR="00282897" w:rsidRDefault="00BE525B">
            <w:r>
              <w:rPr>
                <w:sz w:val="15"/>
              </w:rPr>
              <w:t>20</w:t>
            </w:r>
          </w:p>
        </w:tc>
        <w:tc>
          <w:tcPr>
            <w:tcW w:w="792" w:type="dxa"/>
          </w:tcPr>
          <w:p w14:paraId="3A765B7D" w14:textId="77777777" w:rsidR="00282897" w:rsidRDefault="00BE525B">
            <w:r>
              <w:rPr>
                <w:sz w:val="15"/>
              </w:rPr>
              <w:t>3</w:t>
            </w:r>
          </w:p>
        </w:tc>
        <w:tc>
          <w:tcPr>
            <w:tcW w:w="1008" w:type="dxa"/>
          </w:tcPr>
          <w:p w14:paraId="69A0B09C" w14:textId="77777777" w:rsidR="00282897" w:rsidRDefault="00BE525B">
            <w:r>
              <w:rPr>
                <w:sz w:val="15"/>
              </w:rPr>
              <w:t>Complete</w:t>
            </w:r>
          </w:p>
        </w:tc>
      </w:tr>
    </w:tbl>
    <w:p w14:paraId="3D5B0315" w14:textId="77777777" w:rsidR="00282897" w:rsidRDefault="00282897"/>
    <w:tbl>
      <w:tblPr>
        <w:tblStyle w:val="TableGrid"/>
        <w:tblW w:w="0" w:type="auto"/>
        <w:tblLook w:val="04A0" w:firstRow="1" w:lastRow="0" w:firstColumn="1" w:lastColumn="0" w:noHBand="0" w:noVBand="1"/>
      </w:tblPr>
      <w:tblGrid>
        <w:gridCol w:w="4968"/>
        <w:gridCol w:w="4968"/>
      </w:tblGrid>
      <w:tr w:rsidR="00282897" w14:paraId="2D1C23D2" w14:textId="77777777">
        <w:tc>
          <w:tcPr>
            <w:tcW w:w="4968" w:type="dxa"/>
            <w:shd w:val="clear" w:color="auto" w:fill="EAF1F6"/>
          </w:tcPr>
          <w:p w14:paraId="6792224E" w14:textId="77777777" w:rsidR="00282897" w:rsidRDefault="00BE525B">
            <w:r>
              <w:rPr>
                <w:b/>
                <w:sz w:val="17"/>
              </w:rPr>
              <w:t>Planned / completed searches</w:t>
            </w:r>
          </w:p>
        </w:tc>
        <w:tc>
          <w:tcPr>
            <w:tcW w:w="4968" w:type="dxa"/>
          </w:tcPr>
          <w:p w14:paraId="6C3AF6D4" w14:textId="77777777" w:rsidR="00282897" w:rsidRDefault="00BE525B">
            <w:r>
              <w:rPr>
                <w:sz w:val="17"/>
              </w:rPr>
              <w:t>7 / 7</w:t>
            </w:r>
          </w:p>
        </w:tc>
      </w:tr>
      <w:tr w:rsidR="00282897" w14:paraId="630E9734" w14:textId="77777777">
        <w:tc>
          <w:tcPr>
            <w:tcW w:w="4968" w:type="dxa"/>
            <w:shd w:val="clear" w:color="auto" w:fill="EAF1F6"/>
          </w:tcPr>
          <w:p w14:paraId="2B96EC0F" w14:textId="77777777" w:rsidR="00282897" w:rsidRDefault="00BE525B">
            <w:r>
              <w:rPr>
                <w:b/>
                <w:sz w:val="17"/>
              </w:rPr>
              <w:t>Papers returned</w:t>
            </w:r>
          </w:p>
        </w:tc>
        <w:tc>
          <w:tcPr>
            <w:tcW w:w="4968" w:type="dxa"/>
          </w:tcPr>
          <w:p w14:paraId="57EABAD6" w14:textId="77777777" w:rsidR="00282897" w:rsidRDefault="00BE525B">
            <w:r>
              <w:rPr>
                <w:sz w:val="17"/>
              </w:rPr>
              <w:t>140</w:t>
            </w:r>
          </w:p>
        </w:tc>
      </w:tr>
      <w:tr w:rsidR="00282897" w14:paraId="7D543CDA" w14:textId="77777777">
        <w:tc>
          <w:tcPr>
            <w:tcW w:w="4968" w:type="dxa"/>
            <w:shd w:val="clear" w:color="auto" w:fill="EAF1F6"/>
          </w:tcPr>
          <w:p w14:paraId="41CBA292" w14:textId="77777777" w:rsidR="00282897" w:rsidRDefault="00BE525B">
            <w:r>
              <w:rPr>
                <w:b/>
                <w:sz w:val="17"/>
              </w:rPr>
              <w:t>Papers selected</w:t>
            </w:r>
          </w:p>
        </w:tc>
        <w:tc>
          <w:tcPr>
            <w:tcW w:w="4968" w:type="dxa"/>
          </w:tcPr>
          <w:p w14:paraId="3C289E78" w14:textId="77777777" w:rsidR="00282897" w:rsidRDefault="00BE525B">
            <w:r>
              <w:rPr>
                <w:sz w:val="17"/>
              </w:rPr>
              <w:t>15</w:t>
            </w:r>
          </w:p>
        </w:tc>
      </w:tr>
      <w:tr w:rsidR="00282897" w14:paraId="066AF07F" w14:textId="77777777">
        <w:tc>
          <w:tcPr>
            <w:tcW w:w="4968" w:type="dxa"/>
            <w:shd w:val="clear" w:color="auto" w:fill="EAF1F6"/>
          </w:tcPr>
          <w:p w14:paraId="23AF808A" w14:textId="77777777" w:rsidR="00282897" w:rsidRDefault="00BE525B">
            <w:r>
              <w:rPr>
                <w:b/>
                <w:sz w:val="17"/>
              </w:rPr>
              <w:t>Search failures</w:t>
            </w:r>
          </w:p>
        </w:tc>
        <w:tc>
          <w:tcPr>
            <w:tcW w:w="4968" w:type="dxa"/>
          </w:tcPr>
          <w:p w14:paraId="1EE30607" w14:textId="77777777" w:rsidR="00282897" w:rsidRDefault="00BE525B">
            <w:r>
              <w:rPr>
                <w:sz w:val="17"/>
              </w:rPr>
              <w:t>None</w:t>
            </w:r>
          </w:p>
        </w:tc>
      </w:tr>
    </w:tbl>
    <w:p w14:paraId="4F98E338" w14:textId="77777777" w:rsidR="00BE525B" w:rsidRDefault="00BE525B"/>
    <w:sectPr w:rsidR="00BE525B" w:rsidSect="00034616">
      <w:headerReference w:type="default" r:id="rId23"/>
      <w:footerReference w:type="default" r:id="rId24"/>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ABC09" w14:textId="77777777" w:rsidR="00594713" w:rsidRDefault="00594713">
      <w:pPr>
        <w:spacing w:after="0" w:line="240" w:lineRule="auto"/>
      </w:pPr>
      <w:r>
        <w:separator/>
      </w:r>
    </w:p>
  </w:endnote>
  <w:endnote w:type="continuationSeparator" w:id="0">
    <w:p w14:paraId="0967F62A" w14:textId="77777777" w:rsidR="00594713" w:rsidRDefault="00594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D7E7" w14:textId="77777777" w:rsidR="00282897" w:rsidRDefault="00BE525B">
    <w:pPr>
      <w:pStyle w:val="Footer"/>
      <w:jc w:val="center"/>
    </w:pPr>
    <w:r>
      <w:rPr>
        <w:color w:val="5B6570"/>
        <w:sz w:val="16"/>
      </w:rPr>
      <w:t>Fictional course | Consensus + ChatGPT workflow demonstration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42C40" w14:textId="77777777" w:rsidR="00594713" w:rsidRDefault="00594713">
      <w:pPr>
        <w:spacing w:after="0" w:line="240" w:lineRule="auto"/>
      </w:pPr>
      <w:r>
        <w:separator/>
      </w:r>
    </w:p>
  </w:footnote>
  <w:footnote w:type="continuationSeparator" w:id="0">
    <w:p w14:paraId="0FA1058D" w14:textId="77777777" w:rsidR="00594713" w:rsidRDefault="00594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4773" w14:textId="77777777" w:rsidR="00282897" w:rsidRDefault="00BE525B">
    <w:pPr>
      <w:pStyle w:val="Header"/>
      <w:jc w:val="right"/>
    </w:pPr>
    <w:r>
      <w:rPr>
        <w:color w:val="5B6570"/>
        <w:sz w:val="16"/>
      </w:rPr>
      <w:t xml:space="preserve">COM </w:t>
    </w:r>
    <w:proofErr w:type="gramStart"/>
    <w:r>
      <w:rPr>
        <w:color w:val="5B6570"/>
        <w:sz w:val="16"/>
      </w:rPr>
      <w:t>210  |</w:t>
    </w:r>
    <w:proofErr w:type="gramEnd"/>
    <w:r>
      <w:rPr>
        <w:color w:val="5B6570"/>
        <w:sz w:val="16"/>
      </w:rPr>
      <w:t xml:space="preserve">  Information, Misinformation &amp; Digital Credibility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2475492">
    <w:abstractNumId w:val="8"/>
  </w:num>
  <w:num w:numId="2" w16cid:durableId="839009397">
    <w:abstractNumId w:val="6"/>
  </w:num>
  <w:num w:numId="3" w16cid:durableId="1284462088">
    <w:abstractNumId w:val="5"/>
  </w:num>
  <w:num w:numId="4" w16cid:durableId="940573551">
    <w:abstractNumId w:val="4"/>
  </w:num>
  <w:num w:numId="5" w16cid:durableId="992878164">
    <w:abstractNumId w:val="7"/>
  </w:num>
  <w:num w:numId="6" w16cid:durableId="243272077">
    <w:abstractNumId w:val="3"/>
  </w:num>
  <w:num w:numId="7" w16cid:durableId="881289120">
    <w:abstractNumId w:val="2"/>
  </w:num>
  <w:num w:numId="8" w16cid:durableId="922253280">
    <w:abstractNumId w:val="1"/>
  </w:num>
  <w:num w:numId="9" w16cid:durableId="214002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3E92"/>
    <w:rsid w:val="00034616"/>
    <w:rsid w:val="0006063C"/>
    <w:rsid w:val="000E5274"/>
    <w:rsid w:val="0015074B"/>
    <w:rsid w:val="00282897"/>
    <w:rsid w:val="0029639D"/>
    <w:rsid w:val="00326F90"/>
    <w:rsid w:val="00594713"/>
    <w:rsid w:val="00AA1D8D"/>
    <w:rsid w:val="00B47730"/>
    <w:rsid w:val="00BC2961"/>
    <w:rsid w:val="00BE525B"/>
    <w:rsid w:val="00CB0664"/>
    <w:rsid w:val="00F6652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316969"/>
  <w14:defaultImageDpi w14:val="300"/>
  <w15:docId w15:val="{4B68494E-1B72-419E-9CD1-3CEEB48A2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1F2933"/>
      <w:sz w:val="21"/>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
      <w:bCs/>
      <w:color w:val="28597F"/>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8597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ensus.app/papers/a-critical-review-of-the-anglophone-and-francophone-harsin/8dbb2f5c29385fd895b0f40152abd7a9/?utm_source=chatgpt" TargetMode="External"/><Relationship Id="rId13" Type="http://schemas.openxmlformats.org/officeDocument/2006/relationships/hyperlink" Target="https://consensus.app/papers/who-falls-for-misinformation-and-why-hubeny-nahon/dd6b2016c53b514095be67745cd5b794/?utm_source=chatgpt" TargetMode="External"/><Relationship Id="rId18" Type="http://schemas.openxmlformats.org/officeDocument/2006/relationships/hyperlink" Target="https://consensus.app/papers/beyond-credibility-the-effects-of-different-forms-of-weikmann-egelhofer/2e5a140b879b5780afed6b54df7a9cb3/?utm_source=chatgp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onsensus.app/papers/boosting-media-literacy-using-lateral-reading-and-online-oswald-kozyreva/776a7bffc59750f1b11917104ef29056/?utm_source=chatgpt" TargetMode="External"/><Relationship Id="rId7" Type="http://schemas.openxmlformats.org/officeDocument/2006/relationships/endnotes" Target="endnotes.xml"/><Relationship Id="rId12" Type="http://schemas.openxmlformats.org/officeDocument/2006/relationships/hyperlink" Target="https://consensus.app/papers/misinformation-current-directions-and-new-insights-ecker/20d1fe5794095d5f889709f0292dd0fc/?utm_source=chatgpt" TargetMode="External"/><Relationship Id="rId17" Type="http://schemas.openxmlformats.org/officeDocument/2006/relationships/hyperlink" Target="https://consensus.app/papers/a-comparative-study-of-news-exposure-and-consumption-on-and-amieur-chouaki/39b6909ad0ad5fb4ac9666c47bfadc7a/?utm_source=chatgp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nsensus.app/papers/trap-of-social-media-algorithms-a-systematic-review-of-ahmmad-shahzad/b75566830b0b5ce9a544a4fade44625d/?utm_source=chatgpt" TargetMode="External"/><Relationship Id="rId20" Type="http://schemas.openxmlformats.org/officeDocument/2006/relationships/hyperlink" Target="https://consensus.app/papers/judging-a-text-by-its-author-&#8212;-a-metaanalysis-of-fendt-muth/5c31978b3b7e503b8b40dc766302aa21/?utm_source=chatg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ensus.app/papers/evaluating-online-nutrition-information-a-scoping-review-omane-forberger/8dec4630c5865d108173936f1f56a2d9/?utm_source=chatgp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sensus.app/papers/social-identity-shapes-antecedents-and-functional-brady-bavel/9fbbbe5c832b57d29524f6be11b35fcb/?utm_source=chatgpt" TargetMode="External"/><Relationship Id="rId23" Type="http://schemas.openxmlformats.org/officeDocument/2006/relationships/header" Target="header1.xml"/><Relationship Id="rId10" Type="http://schemas.openxmlformats.org/officeDocument/2006/relationships/hyperlink" Target="https://consensus.app/papers/the-effect-of-source-expertise-on-the-persuasiveness-and-simmonds-ransom/247d0daa996f5fb4965e3f54ef9ee7ae/?utm_source=chatgpt" TargetMode="External"/><Relationship Id="rId19" Type="http://schemas.openxmlformats.org/officeDocument/2006/relationships/hyperlink" Target="https://consensus.app/papers/identifying-individual-differences-in-deepfake-jin-wang/d1a3fdcd6a9c53808eca8c95a6002a9d/?utm_source=chatgpt" TargetMode="External"/><Relationship Id="rId4" Type="http://schemas.openxmlformats.org/officeDocument/2006/relationships/settings" Target="settings.xml"/><Relationship Id="rId9" Type="http://schemas.openxmlformats.org/officeDocument/2006/relationships/hyperlink" Target="https://consensus.app/papers/disinformation-history-drivers-and-countermeasures-bruno-moriggi/2df5ec2439ff59d19b779a2b0d1ad81c/?utm_source=chatgpt" TargetMode="External"/><Relationship Id="rId14" Type="http://schemas.openxmlformats.org/officeDocument/2006/relationships/hyperlink" Target="https://consensus.app/papers/disinformation-as-cultural-narrative-conceptualizing-marwick-schnabel/ccda9bfecf915fc1b98d1fc264ecc863/?utm_source=chatgpt" TargetMode="External"/><Relationship Id="rId22" Type="http://schemas.openxmlformats.org/officeDocument/2006/relationships/hyperlink" Target="https://consensus.app/papers/discussing-credibility-and-corroboration-students&#8217;-mcgrew-reynolds/9b5e0775d1c3594caa87ed648413191a/?utm_source=chatg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3000</Words>
  <Characters>17102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210 Supplementary Reading List - Consensus + ChatGPT Demonstration</dc:title>
  <dc:subject>Fictional course reading list generated from Consensus search results</dc:subject>
  <dc:creator>OpenAI ChatGPT</dc:creator>
  <cp:keywords>Consensus, ChatGPT, reading list, misinformation, digital credibility, COM 210</cp:keywords>
  <dc:description>generated by python-docx</dc:description>
  <cp:lastModifiedBy>Joseph Pirillo</cp:lastModifiedBy>
  <cp:revision>3</cp:revision>
  <dcterms:created xsi:type="dcterms:W3CDTF">2026-08-19T20:04:00Z</dcterms:created>
  <dcterms:modified xsi:type="dcterms:W3CDTF">2026-08-24T21:29:00Z</dcterms:modified>
  <cp:category/>
</cp:coreProperties>
</file>